
<file path=[Content_Types].xml><?xml version="1.0" encoding="utf-8"?>
<Types xmlns="http://schemas.openxmlformats.org/package/2006/content-types">
  <Default Extension="xml" ContentType="application/xml"/>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hint="eastAsia"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hint="eastAsia"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 xml:space="preserve">65.020.30 </w:t>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hint="eastAsia"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B 43</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hint="eastAsia"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2201</w:t>
            </w:r>
            <w:r>
              <w:fldChar w:fldCharType="end"/>
            </w:r>
            <w:bookmarkEnd w:id="3"/>
          </w:p>
        </w:tc>
      </w:tr>
    </w:tbl>
    <w:p>
      <w:pPr>
        <w:pStyle w:val="50"/>
        <w:framePr w:w="9639" w:h="624" w:hRule="exact" w:hSpace="181" w:vSpace="181" w:wrap="around" w:hAnchor="page" w:x="1305" w:y="2269"/>
        <w:rPr>
          <w:rFonts w:hint="eastAsia"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长春市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int="eastAsia"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hint="eastAsia"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hint="eastAsia" w:ascii="黑体" w:hAnsi="黑体" w:eastAsia="黑体"/>
          <w:b w:val="0"/>
          <w:bCs w:val="0"/>
          <w:w w:val="100"/>
        </w:rPr>
      </w:pPr>
    </w:p>
    <w:p>
      <w:pPr>
        <w:pStyle w:val="197"/>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肉牛牛舍建设规范 第1部分：总则</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hint="eastAsia" w:ascii="黑体" w:hAnsi="黑体" w:eastAsia="黑体"/>
          <w:szCs w:val="28"/>
        </w:rPr>
        <w:t>Specification for construction of beef cattle sheds—Part 1：General principles</w:t>
      </w:r>
      <w:r>
        <w:rPr>
          <w:rFonts w:ascii="黑体" w:hAnsi="黑体"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bookmarkStart w:id="46" w:name="_GoBack"/>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46"/>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rFonts w:hint="eastAsia"/>
          <w:sz w:val="21"/>
          <w:szCs w:val="28"/>
        </w:rPr>
        <w:t>（本草案完成时间：2024年6月13日）</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int="eastAsia"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长春市市场监督管理局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hint="eastAsia"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89"/>
        <w:spacing w:before="900" w:after="468"/>
        <w:rPr>
          <w:rFonts w:hint="eastAsia"/>
        </w:rPr>
      </w:pPr>
      <w:bookmarkStart w:id="21" w:name="BookMark2"/>
      <w:r>
        <w:rPr>
          <w:rFonts w:hint="eastAsia"/>
          <w:spacing w:val="320"/>
        </w:rPr>
        <w:t>前</w:t>
      </w:r>
      <w:r>
        <w:rPr>
          <w:rFonts w:hint="eastAsia"/>
        </w:rPr>
        <w:t>言</w:t>
      </w:r>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本文件是 DB2201/T XXX《肉牛牛舍建设规范》的第 1 部分。DB2201/T XXX 已经发布了以下部分：</w:t>
      </w:r>
    </w:p>
    <w:p>
      <w:pPr>
        <w:pStyle w:val="56"/>
        <w:ind w:firstLine="420"/>
        <w:rPr>
          <w:rFonts w:hint="eastAsia"/>
        </w:rPr>
      </w:pPr>
      <w:r>
        <w:rPr>
          <w:rFonts w:hint="eastAsia"/>
        </w:rPr>
        <w:t>——第 1 部分：总则</w:t>
      </w:r>
    </w:p>
    <w:p>
      <w:pPr>
        <w:pStyle w:val="56"/>
        <w:ind w:firstLine="420"/>
        <w:rPr>
          <w:rFonts w:hint="eastAsia"/>
        </w:rPr>
      </w:pPr>
      <w:r>
        <w:rPr>
          <w:rFonts w:hint="eastAsia"/>
        </w:rPr>
        <w:t>——第 2 部分：种公牛</w:t>
      </w:r>
    </w:p>
    <w:p>
      <w:pPr>
        <w:pStyle w:val="56"/>
        <w:ind w:firstLine="420"/>
        <w:rPr>
          <w:rFonts w:hint="eastAsia"/>
        </w:rPr>
      </w:pPr>
      <w:r>
        <w:rPr>
          <w:rFonts w:hint="eastAsia"/>
        </w:rPr>
        <w:t>——第 3 部分：种母牛</w:t>
      </w:r>
    </w:p>
    <w:p>
      <w:pPr>
        <w:pStyle w:val="56"/>
        <w:ind w:firstLine="420"/>
        <w:rPr>
          <w:rFonts w:hint="eastAsia"/>
        </w:rPr>
      </w:pPr>
      <w:r>
        <w:rPr>
          <w:rFonts w:hint="eastAsia"/>
        </w:rPr>
        <w:t>——第 4 部分：基础母牛</w:t>
      </w:r>
    </w:p>
    <w:p>
      <w:pPr>
        <w:pStyle w:val="56"/>
        <w:ind w:firstLine="420"/>
        <w:rPr>
          <w:rFonts w:hint="eastAsia"/>
        </w:rPr>
      </w:pPr>
      <w:r>
        <w:rPr>
          <w:rFonts w:hint="eastAsia"/>
        </w:rPr>
        <w:t>——第 5 部分：育肥牛</w:t>
      </w:r>
    </w:p>
    <w:p>
      <w:pPr>
        <w:pStyle w:val="56"/>
        <w:ind w:firstLine="420"/>
        <w:rPr>
          <w:rFonts w:hint="eastAsia"/>
        </w:rPr>
      </w:pPr>
      <w:r>
        <w:rPr>
          <w:rFonts w:hint="eastAsia"/>
        </w:rPr>
        <w:t>请注意本文件的某些内容可能涉及专利。本文件的发布机构不承担识别专利的责任。</w:t>
      </w:r>
    </w:p>
    <w:p>
      <w:pPr>
        <w:pStyle w:val="56"/>
        <w:ind w:firstLine="420"/>
        <w:rPr>
          <w:rFonts w:hint="eastAsia"/>
        </w:rPr>
      </w:pPr>
      <w:r>
        <w:rPr>
          <w:rFonts w:hint="eastAsia"/>
        </w:rPr>
        <w:t>本文件由长春市畜牧业管理局提出并归口。</w:t>
      </w:r>
    </w:p>
    <w:p>
      <w:pPr>
        <w:pStyle w:val="56"/>
        <w:ind w:firstLine="420"/>
      </w:pPr>
      <w:r>
        <w:rPr>
          <w:rFonts w:hint="eastAsia"/>
        </w:rPr>
        <w:t>本文件由长春市畜牧业管理局组织实施。</w:t>
      </w:r>
    </w:p>
    <w:p>
      <w:pPr>
        <w:pStyle w:val="56"/>
        <w:ind w:firstLine="420"/>
        <w:rPr>
          <w:rFonts w:hint="eastAsia"/>
        </w:rPr>
      </w:pPr>
      <w:r>
        <w:rPr>
          <w:rFonts w:hint="eastAsia"/>
        </w:rPr>
        <w:t>本文件起草单位：长春市畜牧总站、吉林省畜牧兽医科学研究院、长春城开农投畜牧发展有限公司、长春市标准研究院。</w:t>
      </w:r>
    </w:p>
    <w:p>
      <w:pPr>
        <w:pStyle w:val="56"/>
        <w:ind w:firstLine="420"/>
        <w:rPr>
          <w:rFonts w:hint="eastAsia"/>
        </w:rPr>
      </w:pPr>
      <w:r>
        <w:rPr>
          <w:rFonts w:hint="eastAsia"/>
        </w:rPr>
        <w:t>本文件主要起草人：解殿玉、邵洪泽、刘明明、李晓微、孙君芬、姜涛、韩雪花、胡艳超、姜洪伟、王羽、李艳红、杨树勇、金海峰、王朋、谢立军。</w:t>
      </w:r>
    </w:p>
    <w:p>
      <w:pPr>
        <w:pStyle w:val="56"/>
        <w:ind w:firstLine="420"/>
        <w:rPr>
          <w:rFonts w:hint="eastAsia"/>
        </w:rPr>
      </w:pPr>
    </w:p>
    <w:p>
      <w:pPr>
        <w:pStyle w:val="56"/>
        <w:ind w:firstLine="420"/>
        <w:rPr>
          <w:rFonts w:hint="eastAsia"/>
        </w:rPr>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21"/>
    <w:p>
      <w:pPr>
        <w:pStyle w:val="89"/>
        <w:spacing w:after="468"/>
        <w:rPr>
          <w:rFonts w:hint="eastAsia"/>
        </w:rPr>
      </w:pPr>
      <w:bookmarkStart w:id="22" w:name="BookMark3"/>
      <w:r>
        <w:rPr>
          <w:rFonts w:hint="eastAsia"/>
          <w:spacing w:val="320"/>
        </w:rPr>
        <w:t>引</w:t>
      </w:r>
      <w:r>
        <w:rPr>
          <w:rFonts w:hint="eastAsia"/>
        </w:rPr>
        <w:t>言</w:t>
      </w:r>
    </w:p>
    <w:p>
      <w:pPr>
        <w:pStyle w:val="56"/>
        <w:ind w:firstLine="420"/>
        <w:rPr>
          <w:rFonts w:hint="eastAsia"/>
        </w:rPr>
      </w:pPr>
      <w:r>
        <w:rPr>
          <w:rFonts w:hint="eastAsia"/>
        </w:rPr>
        <w:t>现代畜牧业的基本要求是集约化、标准化生产，实现可持续、高效益、高质量发展。进入新发展阶段，肉牛产业面临着转型升级和结构调整的挑战，同时也带来了新的机遇。肉牛牛舍是肉牛产业发展的重要基础设施，良好的牛舍为肉牛提供优良的生活环境条件和完善的动物福利，提高肉牛的生产效率，确保牛群品质稳定，有效预防疾病的发生。同时可以节约饲养成本，减少养殖生产全过程的能耗和污染物排放。</w:t>
      </w:r>
    </w:p>
    <w:p>
      <w:pPr>
        <w:pStyle w:val="56"/>
        <w:ind w:firstLine="420"/>
        <w:rPr>
          <w:rFonts w:hint="eastAsia"/>
        </w:rPr>
      </w:pPr>
      <w:r>
        <w:rPr>
          <w:rFonts w:hint="eastAsia"/>
        </w:rPr>
        <w:t>DB2201/T XXX 是为了规范肉牛牛舍建设，提高牛舍建设质量而编制的文件。依据肉牛不同功能和发育阶段，标准被划分为不同牛舍类别。针对不同类型牛舍建设要求，将 DB2201/T XXX 拟划分为 5 个部分。</w:t>
      </w:r>
    </w:p>
    <w:p>
      <w:pPr>
        <w:pStyle w:val="56"/>
        <w:ind w:firstLine="420"/>
        <w:rPr>
          <w:rFonts w:hint="eastAsia"/>
        </w:rPr>
      </w:pPr>
      <w:r>
        <w:rPr>
          <w:rFonts w:hint="eastAsia"/>
        </w:rPr>
        <w:t>——第 1 部分：总则。目的在于确立适用于不同类别肉牛牛舍建设的总体原则和要求。</w:t>
      </w:r>
    </w:p>
    <w:p>
      <w:pPr>
        <w:pStyle w:val="56"/>
        <w:ind w:firstLine="420"/>
        <w:rPr>
          <w:rFonts w:hint="eastAsia"/>
        </w:rPr>
      </w:pPr>
      <w:r>
        <w:rPr>
          <w:rFonts w:hint="eastAsia"/>
        </w:rPr>
        <w:t>——第 2 部分：种公牛。目的在于确立适用于种公牛牛舍建设的原则和要求。</w:t>
      </w:r>
    </w:p>
    <w:p>
      <w:pPr>
        <w:pStyle w:val="56"/>
        <w:ind w:firstLine="420"/>
        <w:rPr>
          <w:rFonts w:hint="eastAsia"/>
        </w:rPr>
      </w:pPr>
      <w:r>
        <w:rPr>
          <w:rFonts w:hint="eastAsia"/>
        </w:rPr>
        <w:t>——第 3 部分：种母牛。目的在于确立适用于种母牛牛舍建设的原则和要求。</w:t>
      </w:r>
    </w:p>
    <w:p>
      <w:pPr>
        <w:pStyle w:val="56"/>
        <w:ind w:firstLine="420"/>
        <w:rPr>
          <w:rFonts w:hint="eastAsia"/>
        </w:rPr>
      </w:pPr>
      <w:r>
        <w:rPr>
          <w:rFonts w:hint="eastAsia"/>
        </w:rPr>
        <w:t>——第 4 部分：基础母牛。目的在于确立适用于基础母牛牛舍建设的原则和要求。</w:t>
      </w:r>
    </w:p>
    <w:p>
      <w:pPr>
        <w:pStyle w:val="56"/>
        <w:ind w:firstLine="420"/>
        <w:rPr>
          <w:rFonts w:hint="eastAsia"/>
        </w:rPr>
      </w:pPr>
      <w:r>
        <w:rPr>
          <w:rFonts w:hint="eastAsia"/>
        </w:rPr>
        <w:t>——第 5 部分：育肥牛。目的在于确立适用于育肥牛牛舍建设的原则和要求。</w:t>
      </w:r>
    </w:p>
    <w:p>
      <w:pPr>
        <w:pStyle w:val="56"/>
        <w:ind w:firstLine="420"/>
        <w:rPr>
          <w:rFonts w:hint="eastAsia"/>
        </w:rPr>
      </w:pPr>
    </w:p>
    <w:p>
      <w:pPr>
        <w:pStyle w:val="56"/>
        <w:ind w:firstLine="420"/>
        <w:rPr>
          <w:rFonts w:hint="eastAsia"/>
        </w:rPr>
        <w:sectPr>
          <w:pgSz w:w="11906" w:h="16838"/>
          <w:pgMar w:top="1928" w:right="1134" w:bottom="1134" w:left="1134" w:header="1418" w:footer="1134" w:gutter="284"/>
          <w:pgNumType w:fmt="upperRoman"/>
          <w:cols w:space="425" w:num="1"/>
          <w:formProt w:val="0"/>
          <w:docGrid w:type="lines" w:linePitch="312" w:charSpace="0"/>
        </w:sectPr>
      </w:pPr>
    </w:p>
    <w:bookmarkEnd w:id="22"/>
    <w:p>
      <w:pPr>
        <w:spacing w:line="20" w:lineRule="exact"/>
        <w:jc w:val="center"/>
        <w:rPr>
          <w:rFonts w:hint="eastAsia" w:ascii="黑体" w:hAnsi="黑体" w:eastAsia="黑体"/>
          <w:sz w:val="32"/>
          <w:szCs w:val="32"/>
        </w:rPr>
      </w:pPr>
      <w:bookmarkStart w:id="23" w:name="BookMark4"/>
    </w:p>
    <w:p>
      <w:pPr>
        <w:spacing w:line="20" w:lineRule="exact"/>
        <w:jc w:val="center"/>
        <w:rPr>
          <w:rFonts w:hint="eastAsia" w:ascii="黑体" w:hAnsi="黑体" w:eastAsia="黑体"/>
          <w:sz w:val="32"/>
          <w:szCs w:val="32"/>
        </w:rPr>
      </w:pPr>
    </w:p>
    <w:sdt>
      <w:sdtPr>
        <w:tag w:val="NEW_STAND_NAME"/>
        <w:id w:val="595910757"/>
        <w:lock w:val="sdtLocked"/>
        <w:placeholder>
          <w:docPart w:val="EE6354E0BDD849FEB113426B826C6B64"/>
        </w:placeholder>
      </w:sdtPr>
      <w:sdtContent>
        <w:p>
          <w:pPr>
            <w:pStyle w:val="177"/>
            <w:spacing w:before="3" w:beforeLines="1" w:after="686" w:afterLines="220"/>
            <w:rPr>
              <w:rFonts w:hint="eastAsia"/>
            </w:rPr>
          </w:pPr>
          <w:bookmarkStart w:id="24" w:name="NEW_STAND_NAME"/>
          <w:r>
            <w:rPr>
              <w:rFonts w:hint="eastAsia"/>
            </w:rPr>
            <w:t>肉牛牛舍建设规范 第1部分：总则</w:t>
          </w:r>
        </w:p>
      </w:sdtContent>
    </w:sdt>
    <w:bookmarkEnd w:id="24"/>
    <w:p>
      <w:pPr>
        <w:pStyle w:val="104"/>
        <w:spacing w:before="312" w:after="312"/>
      </w:pPr>
      <w:bookmarkStart w:id="25" w:name="_Toc26718930"/>
      <w:bookmarkStart w:id="26" w:name="_Toc26986771"/>
      <w:bookmarkStart w:id="27" w:name="_Toc17233333"/>
      <w:bookmarkStart w:id="28" w:name="_Toc17233325"/>
      <w:bookmarkStart w:id="29" w:name="_Toc24884211"/>
      <w:bookmarkStart w:id="30" w:name="_Toc26648465"/>
      <w:bookmarkStart w:id="31" w:name="_Toc97191423"/>
      <w:bookmarkStart w:id="32" w:name="_Toc26986530"/>
      <w:bookmarkStart w:id="33" w:name="_Toc24884218"/>
      <w:r>
        <w:rPr>
          <w:rFonts w:hint="eastAsia"/>
        </w:rPr>
        <w:t>范围</w:t>
      </w:r>
      <w:bookmarkEnd w:id="25"/>
      <w:bookmarkEnd w:id="26"/>
      <w:bookmarkEnd w:id="27"/>
      <w:bookmarkEnd w:id="28"/>
      <w:bookmarkEnd w:id="29"/>
      <w:bookmarkEnd w:id="30"/>
      <w:bookmarkEnd w:id="31"/>
      <w:bookmarkEnd w:id="32"/>
      <w:bookmarkEnd w:id="33"/>
    </w:p>
    <w:p>
      <w:pPr>
        <w:pStyle w:val="56"/>
        <w:ind w:firstLine="420"/>
        <w:rPr>
          <w:rFonts w:hint="eastAsia"/>
        </w:rPr>
      </w:pPr>
      <w:bookmarkStart w:id="34" w:name="_Toc24884212"/>
      <w:bookmarkStart w:id="35" w:name="_Toc24884219"/>
      <w:bookmarkStart w:id="36" w:name="_Toc17233326"/>
      <w:bookmarkStart w:id="37" w:name="_Toc17233334"/>
      <w:bookmarkStart w:id="38" w:name="_Toc26648466"/>
      <w:r>
        <w:rPr>
          <w:rFonts w:hint="eastAsia"/>
        </w:rPr>
        <w:t>本文件规定了牛舍建设的选址、分类、设计、建设、内部布局、内部设施和附属设施等要求。</w:t>
      </w:r>
    </w:p>
    <w:p>
      <w:pPr>
        <w:pStyle w:val="56"/>
        <w:ind w:firstLine="420"/>
      </w:pPr>
      <w:r>
        <w:rPr>
          <w:rFonts w:hint="eastAsia"/>
        </w:rPr>
        <w:t>本文件适用于肉牛牛舍建设一般要求。</w:t>
      </w:r>
    </w:p>
    <w:p>
      <w:pPr>
        <w:pStyle w:val="104"/>
        <w:spacing w:before="312" w:after="312"/>
      </w:pPr>
      <w:bookmarkStart w:id="39" w:name="_Toc26718931"/>
      <w:bookmarkStart w:id="40" w:name="_Toc26986531"/>
      <w:bookmarkStart w:id="41" w:name="_Toc26986772"/>
      <w:bookmarkStart w:id="42" w:name="_Toc97191424"/>
      <w:r>
        <w:rPr>
          <w:rFonts w:hint="eastAsia"/>
        </w:rPr>
        <w:t>规范性引用文件</w:t>
      </w:r>
      <w:bookmarkEnd w:id="34"/>
      <w:bookmarkEnd w:id="35"/>
      <w:bookmarkEnd w:id="36"/>
      <w:bookmarkEnd w:id="37"/>
      <w:bookmarkEnd w:id="38"/>
      <w:bookmarkEnd w:id="39"/>
      <w:bookmarkEnd w:id="40"/>
      <w:bookmarkEnd w:id="41"/>
      <w:bookmarkEnd w:id="42"/>
    </w:p>
    <w:sdt>
      <w:sdtPr>
        <w:rPr>
          <w:rFonts w:hint="eastAsia"/>
        </w:rPr>
        <w:id w:val="715848253"/>
        <w:placeholder>
          <w:docPart w:val="1605B51B11EE4FAF876B8D8C7DDD5C3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eastAsia"/>
        </w:rPr>
      </w:pPr>
      <w:r>
        <w:rPr>
          <w:rFonts w:hint="eastAsia"/>
        </w:rPr>
        <w:t>GB 5749  生活饮用水卫生标准</w:t>
      </w:r>
    </w:p>
    <w:p>
      <w:pPr>
        <w:pStyle w:val="56"/>
        <w:ind w:firstLine="420"/>
        <w:rPr>
          <w:rFonts w:hint="eastAsia"/>
        </w:rPr>
      </w:pPr>
      <w:r>
        <w:rPr>
          <w:rFonts w:hint="eastAsia"/>
        </w:rPr>
        <w:t>GB 50003  砌体结构设计规范</w:t>
      </w:r>
    </w:p>
    <w:p>
      <w:pPr>
        <w:pStyle w:val="56"/>
        <w:ind w:firstLine="420"/>
        <w:rPr>
          <w:rFonts w:hint="eastAsia"/>
        </w:rPr>
      </w:pPr>
      <w:r>
        <w:rPr>
          <w:rFonts w:hint="eastAsia"/>
        </w:rPr>
        <w:t>GB 50007  建筑地基基础设计规范</w:t>
      </w:r>
    </w:p>
    <w:p>
      <w:pPr>
        <w:pStyle w:val="56"/>
        <w:ind w:firstLine="420"/>
        <w:rPr>
          <w:rFonts w:hint="eastAsia"/>
        </w:rPr>
      </w:pPr>
      <w:r>
        <w:rPr>
          <w:rFonts w:hint="eastAsia"/>
        </w:rPr>
        <w:t>GB 50009  建筑结构荷载规范</w:t>
      </w:r>
    </w:p>
    <w:p>
      <w:pPr>
        <w:pStyle w:val="56"/>
        <w:ind w:firstLine="420"/>
        <w:rPr>
          <w:rFonts w:hint="eastAsia"/>
        </w:rPr>
      </w:pPr>
      <w:r>
        <w:rPr>
          <w:rFonts w:hint="eastAsia"/>
        </w:rPr>
        <w:t>GB 50010  混凝土结构设计规范</w:t>
      </w:r>
    </w:p>
    <w:p>
      <w:pPr>
        <w:pStyle w:val="56"/>
        <w:ind w:firstLine="420"/>
        <w:rPr>
          <w:rFonts w:hint="eastAsia"/>
        </w:rPr>
      </w:pPr>
      <w:r>
        <w:rPr>
          <w:rFonts w:hint="eastAsia"/>
        </w:rPr>
        <w:t>GB 50011  建筑抗震设计规范</w:t>
      </w:r>
    </w:p>
    <w:p>
      <w:pPr>
        <w:pStyle w:val="56"/>
        <w:ind w:firstLine="420"/>
        <w:rPr>
          <w:rFonts w:hint="eastAsia"/>
        </w:rPr>
      </w:pPr>
      <w:r>
        <w:rPr>
          <w:rFonts w:hint="eastAsia"/>
        </w:rPr>
        <w:t>GB 50016  建筑设计防火规范</w:t>
      </w:r>
    </w:p>
    <w:p>
      <w:pPr>
        <w:pStyle w:val="56"/>
        <w:ind w:firstLine="420"/>
        <w:rPr>
          <w:rFonts w:hint="eastAsia"/>
        </w:rPr>
      </w:pPr>
      <w:r>
        <w:rPr>
          <w:rFonts w:hint="eastAsia"/>
        </w:rPr>
        <w:t>GB 50052  供配电系统设计规范</w:t>
      </w:r>
    </w:p>
    <w:p>
      <w:pPr>
        <w:pStyle w:val="56"/>
        <w:ind w:firstLine="420"/>
        <w:rPr>
          <w:rFonts w:hint="eastAsia"/>
        </w:rPr>
      </w:pPr>
      <w:r>
        <w:rPr>
          <w:rFonts w:hint="eastAsia"/>
        </w:rPr>
        <w:t>GB 50208  地下防水工程质量验收规范</w:t>
      </w:r>
    </w:p>
    <w:p>
      <w:pPr>
        <w:pStyle w:val="56"/>
        <w:ind w:firstLine="420"/>
        <w:rPr>
          <w:rFonts w:hint="eastAsia"/>
        </w:rPr>
      </w:pPr>
      <w:r>
        <w:rPr>
          <w:rFonts w:hint="eastAsia"/>
        </w:rPr>
        <w:t>GB 50352  民用建筑设计通则</w:t>
      </w:r>
    </w:p>
    <w:p>
      <w:pPr>
        <w:pStyle w:val="56"/>
        <w:ind w:firstLine="420"/>
        <w:rPr>
          <w:rFonts w:hint="eastAsia"/>
        </w:rPr>
      </w:pPr>
      <w:r>
        <w:rPr>
          <w:rFonts w:hint="eastAsia"/>
        </w:rPr>
        <w:t>NY 388  畜禽场环境质量标准</w:t>
      </w:r>
    </w:p>
    <w:p>
      <w:pPr>
        <w:pStyle w:val="56"/>
        <w:ind w:firstLine="420"/>
      </w:pPr>
      <w:r>
        <w:rPr>
          <w:rFonts w:hint="eastAsia"/>
        </w:rPr>
        <w:t>NY/T 682  畜禽场场区设计技术规范</w:t>
      </w:r>
    </w:p>
    <w:p>
      <w:pPr>
        <w:pStyle w:val="104"/>
        <w:spacing w:before="312" w:after="312"/>
      </w:pPr>
      <w:bookmarkStart w:id="43" w:name="_Toc97191425"/>
      <w:r>
        <w:rPr>
          <w:rFonts w:hint="eastAsia"/>
          <w:szCs w:val="21"/>
        </w:rPr>
        <w:t>术语和定义</w:t>
      </w:r>
      <w:bookmarkEnd w:id="43"/>
    </w:p>
    <w:sdt>
      <w:sdtPr>
        <w:id w:val="-1909835108"/>
        <w:placeholder>
          <w:docPart w:val="7C383C53BC7948D5A08CF09DD11ABCB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44" w:name="_Toc26986532"/>
          <w:bookmarkEnd w:id="44"/>
          <w:r>
            <w:t>下列术语和定义适用于本文件。</w:t>
          </w:r>
        </w:p>
      </w:sdtContent>
    </w:sdt>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 xml:space="preserve">基础母牛 Breeding cows </w:t>
      </w:r>
    </w:p>
    <w:p>
      <w:pPr>
        <w:pStyle w:val="56"/>
        <w:ind w:firstLine="420"/>
      </w:pPr>
      <w:r>
        <w:rPr>
          <w:rFonts w:hint="eastAsia"/>
        </w:rPr>
        <w:t>用于商品犊牛生产的可繁殖母牛。</w:t>
      </w:r>
    </w:p>
    <w:p>
      <w:pPr>
        <w:pStyle w:val="56"/>
        <w:ind w:firstLine="420"/>
        <w:rPr>
          <w:rFonts w:hint="eastAsia"/>
        </w:rPr>
      </w:pPr>
      <w:r>
        <w:rPr>
          <w:rFonts w:hint="eastAsia"/>
        </w:rPr>
        <w:t>　</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分隔式散栏 Separate feeding pens</w:t>
      </w:r>
    </w:p>
    <w:p>
      <w:pPr>
        <w:pStyle w:val="56"/>
        <w:ind w:firstLine="420"/>
      </w:pPr>
      <w:r>
        <w:rPr>
          <w:rFonts w:hint="eastAsia"/>
        </w:rPr>
        <w:t>是在牛舍内部设置围栏，暨保障母牛自由活动，又将其分隔成不同群体肉牛饲养模式，通常是沿着饲喂通道设置固定采食围栏，在与饲喂通道垂直方向设置固定或可移动分群围栏。</w:t>
      </w:r>
    </w:p>
    <w:p>
      <w:pPr>
        <w:pStyle w:val="56"/>
        <w:ind w:firstLine="420"/>
        <w:rPr>
          <w:rFonts w:hint="eastAsia"/>
        </w:rPr>
      </w:pP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饲喂通道 Feeding passage</w:t>
      </w:r>
    </w:p>
    <w:p>
      <w:pPr>
        <w:pStyle w:val="56"/>
        <w:ind w:firstLine="420"/>
      </w:pPr>
      <w:r>
        <w:rPr>
          <w:rFonts w:hint="eastAsia"/>
        </w:rPr>
        <w:t>由饲槽和送料通道组成，牛场净道在舍内的部分。</w:t>
      </w:r>
    </w:p>
    <w:p>
      <w:pPr>
        <w:pStyle w:val="56"/>
        <w:ind w:firstLine="420"/>
        <w:rPr>
          <w:rFonts w:hint="eastAsia"/>
        </w:rPr>
      </w:pP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清粪通道 Clean up the fecal passage</w:t>
      </w:r>
    </w:p>
    <w:p>
      <w:pPr>
        <w:pStyle w:val="56"/>
        <w:ind w:firstLine="420"/>
      </w:pPr>
      <w:r>
        <w:rPr>
          <w:rFonts w:hint="eastAsia"/>
        </w:rPr>
        <w:t>是粪污运出牛舍的通道，是牛场污道的组成部分。</w:t>
      </w:r>
    </w:p>
    <w:p>
      <w:pPr>
        <w:pStyle w:val="56"/>
        <w:ind w:firstLine="420"/>
      </w:pPr>
    </w:p>
    <w:p>
      <w:pPr>
        <w:pStyle w:val="104"/>
        <w:spacing w:before="312" w:after="312"/>
        <w:rPr>
          <w:rFonts w:hint="eastAsia"/>
        </w:rPr>
      </w:pPr>
      <w:r>
        <w:rPr>
          <w:rFonts w:hint="eastAsia"/>
        </w:rPr>
        <w:t>选址</w:t>
      </w:r>
    </w:p>
    <w:p>
      <w:pPr>
        <w:pStyle w:val="162"/>
        <w:rPr>
          <w:rFonts w:hint="eastAsia"/>
        </w:rPr>
      </w:pPr>
      <w:r>
        <w:rPr>
          <w:rFonts w:hint="eastAsia"/>
        </w:rPr>
        <w:t>牛场选址应符合《动物防疫法条件审查办法》规定的动物防疫条件。</w:t>
      </w:r>
    </w:p>
    <w:p>
      <w:pPr>
        <w:pStyle w:val="162"/>
        <w:rPr>
          <w:rFonts w:hint="eastAsia"/>
        </w:rPr>
      </w:pPr>
      <w:r>
        <w:rPr>
          <w:rFonts w:hint="eastAsia"/>
        </w:rPr>
        <w:t>牛场应分区应符合NY/T 682 规定，按功能分为生活办公区、生产区、饲料加工区、隔离区和粪污处理区等：</w:t>
      </w:r>
    </w:p>
    <w:p>
      <w:pPr>
        <w:pStyle w:val="56"/>
        <w:ind w:firstLine="420"/>
        <w:rPr>
          <w:rFonts w:hint="eastAsia"/>
        </w:rPr>
      </w:pPr>
      <w:r>
        <w:rPr>
          <w:rFonts w:hint="eastAsia"/>
        </w:rPr>
        <w:t>——生活办公区设在场区常年主导风向的上风向及地势较高区域；</w:t>
      </w:r>
    </w:p>
    <w:p>
      <w:pPr>
        <w:pStyle w:val="56"/>
        <w:ind w:firstLine="420"/>
        <w:rPr>
          <w:rFonts w:hint="eastAsia"/>
        </w:rPr>
      </w:pPr>
      <w:r>
        <w:rPr>
          <w:rFonts w:hint="eastAsia"/>
        </w:rPr>
        <w:t>——生产区位于养殖场中心区域；</w:t>
      </w:r>
    </w:p>
    <w:p>
      <w:pPr>
        <w:pStyle w:val="56"/>
        <w:ind w:firstLine="420"/>
        <w:rPr>
          <w:rFonts w:hint="eastAsia"/>
        </w:rPr>
      </w:pPr>
      <w:r>
        <w:rPr>
          <w:rFonts w:hint="eastAsia"/>
        </w:rPr>
        <w:t>——饲料加工区在生产区平行或常年主导风向的上风向位置，通过净道衔接；</w:t>
      </w:r>
    </w:p>
    <w:p>
      <w:pPr>
        <w:pStyle w:val="56"/>
        <w:ind w:firstLine="420"/>
        <w:rPr>
          <w:rFonts w:hint="eastAsia"/>
        </w:rPr>
      </w:pPr>
      <w:r>
        <w:rPr>
          <w:rFonts w:hint="eastAsia"/>
        </w:rPr>
        <w:t>——隔离区设在场区下风向或侧风向及地势较低区域；</w:t>
      </w:r>
    </w:p>
    <w:p>
      <w:pPr>
        <w:pStyle w:val="56"/>
        <w:ind w:firstLine="420"/>
        <w:rPr>
          <w:rFonts w:hint="eastAsia"/>
        </w:rPr>
      </w:pPr>
      <w:r>
        <w:rPr>
          <w:rFonts w:hint="eastAsia"/>
        </w:rPr>
        <w:t>——粪污处理区与病死牛处理区按夏季主导风向设于生产区的下风向或侧风向处。</w:t>
      </w:r>
    </w:p>
    <w:p>
      <w:pPr>
        <w:pStyle w:val="162"/>
        <w:rPr>
          <w:rFonts w:hint="eastAsia"/>
        </w:rPr>
      </w:pPr>
      <w:r>
        <w:rPr>
          <w:rFonts w:hint="eastAsia"/>
        </w:rPr>
        <w:t>牛舍应建于生产区，可按养殖场需要建设公牛舍、母牛舍、犊牛舍、育肥牛舍等不同功能的牛舍。</w:t>
      </w:r>
    </w:p>
    <w:p>
      <w:pPr>
        <w:pStyle w:val="162"/>
      </w:pPr>
      <w:r>
        <w:rPr>
          <w:rFonts w:hint="eastAsia"/>
        </w:rPr>
        <w:t>牛舍应根据生产需求、自然及经济条件，充分利用场区原有地形、地势，在保证牛舍具有合理朝向，满足采光、通风要求的前提下，尽量使牛舍长轴沿场区等高线布置。</w:t>
      </w:r>
    </w:p>
    <w:p>
      <w:pPr>
        <w:pStyle w:val="104"/>
        <w:spacing w:before="312" w:after="312"/>
        <w:rPr>
          <w:rFonts w:hint="eastAsia"/>
        </w:rPr>
      </w:pPr>
      <w:r>
        <w:rPr>
          <w:rFonts w:hint="eastAsia"/>
        </w:rPr>
        <w:t>分类</w:t>
      </w:r>
    </w:p>
    <w:p>
      <w:pPr>
        <w:pStyle w:val="162"/>
        <w:rPr>
          <w:rFonts w:hint="eastAsia"/>
        </w:rPr>
      </w:pPr>
      <w:r>
        <w:rPr>
          <w:rFonts w:hint="eastAsia"/>
        </w:rPr>
        <w:t>按屋顶形式分为：单坡式、双坡式、拱顶式、钟楼式、半钟楼式等。</w:t>
      </w:r>
    </w:p>
    <w:p>
      <w:pPr>
        <w:pStyle w:val="162"/>
        <w:rPr>
          <w:rFonts w:hint="eastAsia"/>
        </w:rPr>
      </w:pPr>
      <w:r>
        <w:rPr>
          <w:rFonts w:hint="eastAsia"/>
        </w:rPr>
        <w:t>按墙体结构分为：开放式、半开放式和封闭式。</w:t>
      </w:r>
    </w:p>
    <w:p>
      <w:pPr>
        <w:pStyle w:val="162"/>
        <w:rPr>
          <w:rFonts w:hint="eastAsia"/>
        </w:rPr>
      </w:pPr>
      <w:r>
        <w:rPr>
          <w:rFonts w:hint="eastAsia"/>
        </w:rPr>
        <w:t>按牛栏排列分为：单列式、双列式或多列式。</w:t>
      </w:r>
    </w:p>
    <w:p>
      <w:pPr>
        <w:pStyle w:val="162"/>
      </w:pPr>
      <w:r>
        <w:rPr>
          <w:rFonts w:hint="eastAsia"/>
        </w:rPr>
        <w:t>按采光方式分为：墙体采光、屋顶采光和混合采光。</w:t>
      </w:r>
    </w:p>
    <w:p>
      <w:pPr>
        <w:pStyle w:val="104"/>
        <w:spacing w:before="312" w:after="312"/>
        <w:rPr>
          <w:rFonts w:hint="eastAsia"/>
        </w:rPr>
      </w:pPr>
      <w:r>
        <w:rPr>
          <w:rFonts w:hint="eastAsia"/>
        </w:rPr>
        <w:t xml:space="preserve">设计 </w:t>
      </w:r>
    </w:p>
    <w:p>
      <w:pPr>
        <w:pStyle w:val="105"/>
        <w:spacing w:before="156" w:after="156"/>
        <w:rPr>
          <w:rFonts w:hint="eastAsia"/>
        </w:rPr>
      </w:pPr>
      <w:r>
        <w:rPr>
          <w:rFonts w:hint="eastAsia"/>
        </w:rPr>
        <w:t xml:space="preserve">施工图 </w:t>
      </w:r>
    </w:p>
    <w:p>
      <w:pPr>
        <w:pStyle w:val="56"/>
        <w:ind w:firstLine="420"/>
        <w:rPr>
          <w:rFonts w:hint="eastAsia"/>
        </w:rPr>
      </w:pPr>
      <w:r>
        <w:rPr>
          <w:rFonts w:hint="eastAsia"/>
        </w:rPr>
        <w:t>牛舍应委托有资质、有牛场设计经验的专业机构，应按 GB 50352 的规定设计并出具施工图，并按施工图建设。</w:t>
      </w:r>
    </w:p>
    <w:p>
      <w:pPr>
        <w:pStyle w:val="105"/>
        <w:spacing w:before="156" w:after="156"/>
        <w:rPr>
          <w:rFonts w:hint="eastAsia"/>
        </w:rPr>
      </w:pPr>
      <w:r>
        <w:rPr>
          <w:rFonts w:hint="eastAsia"/>
        </w:rPr>
        <w:t>荷载核算</w:t>
      </w:r>
    </w:p>
    <w:p>
      <w:pPr>
        <w:pStyle w:val="56"/>
        <w:ind w:firstLine="420"/>
        <w:rPr>
          <w:rFonts w:hint="eastAsia"/>
        </w:rPr>
      </w:pPr>
      <w:r>
        <w:rPr>
          <w:rFonts w:hint="eastAsia"/>
        </w:rPr>
        <w:t xml:space="preserve">应根据建设地的地质勘察、台风、雨雪、地震、洪涝等自然灾害，按 GB 50009 进行牛舍的荷载核算。 </w:t>
      </w:r>
    </w:p>
    <w:p>
      <w:pPr>
        <w:pStyle w:val="105"/>
        <w:spacing w:before="156" w:after="156"/>
        <w:rPr>
          <w:rFonts w:hint="eastAsia"/>
        </w:rPr>
      </w:pPr>
      <w:r>
        <w:rPr>
          <w:rFonts w:hint="eastAsia"/>
        </w:rPr>
        <w:t>消防</w:t>
      </w:r>
    </w:p>
    <w:p>
      <w:pPr>
        <w:pStyle w:val="56"/>
        <w:ind w:firstLine="420"/>
      </w:pPr>
      <w:r>
        <w:rPr>
          <w:rFonts w:hint="eastAsia"/>
        </w:rPr>
        <w:t>牛舍耐火、消防设施配置、消防通道等设计建设应符合 GB 50016 的规定。</w:t>
      </w:r>
    </w:p>
    <w:p>
      <w:pPr>
        <w:pStyle w:val="105"/>
        <w:spacing w:before="156" w:after="156"/>
        <w:rPr>
          <w:rFonts w:hint="eastAsia"/>
        </w:rPr>
      </w:pPr>
      <w:r>
        <w:rPr>
          <w:rFonts w:hint="eastAsia"/>
        </w:rPr>
        <w:t>防雷抗震</w:t>
      </w:r>
    </w:p>
    <w:p>
      <w:pPr>
        <w:pStyle w:val="56"/>
        <w:ind w:firstLine="420"/>
        <w:rPr>
          <w:rFonts w:hint="eastAsia"/>
        </w:rPr>
      </w:pPr>
      <w:r>
        <w:rPr>
          <w:rFonts w:hint="eastAsia"/>
        </w:rPr>
        <w:t>牛舍应有防雷设计，抗震应符合GB 50011的规定。</w:t>
      </w:r>
    </w:p>
    <w:p>
      <w:pPr>
        <w:pStyle w:val="105"/>
        <w:spacing w:before="156" w:after="156"/>
        <w:rPr>
          <w:rFonts w:hint="eastAsia"/>
        </w:rPr>
      </w:pPr>
      <w:r>
        <w:rPr>
          <w:rFonts w:hint="eastAsia"/>
        </w:rPr>
        <w:t>抗渗</w:t>
      </w:r>
    </w:p>
    <w:p>
      <w:pPr>
        <w:pStyle w:val="56"/>
        <w:ind w:firstLine="420"/>
        <w:rPr>
          <w:rFonts w:hint="eastAsia"/>
        </w:rPr>
      </w:pPr>
      <w:r>
        <w:rPr>
          <w:rFonts w:hint="eastAsia"/>
        </w:rPr>
        <w:t>牛舍内有污水暂存和处理设施的，应符合 GB 50208 的规定。</w:t>
      </w:r>
    </w:p>
    <w:p>
      <w:pPr>
        <w:pStyle w:val="105"/>
        <w:spacing w:before="156" w:after="156"/>
        <w:rPr>
          <w:rFonts w:hint="eastAsia"/>
        </w:rPr>
      </w:pPr>
      <w:r>
        <w:rPr>
          <w:rFonts w:hint="eastAsia"/>
        </w:rPr>
        <w:t>水电</w:t>
      </w:r>
    </w:p>
    <w:p>
      <w:pPr>
        <w:pStyle w:val="165"/>
        <w:rPr>
          <w:rFonts w:hint="eastAsia"/>
        </w:rPr>
      </w:pPr>
      <w:r>
        <w:rPr>
          <w:rFonts w:hint="eastAsia"/>
        </w:rPr>
        <w:t>牛舍应设计供水管道和饮水装置，贮水设施应有防污染措施，水质卫生指标应符合 GB 5749 的规定。</w:t>
      </w:r>
    </w:p>
    <w:p>
      <w:pPr>
        <w:pStyle w:val="165"/>
      </w:pPr>
      <w:r>
        <w:rPr>
          <w:rFonts w:hint="eastAsia"/>
        </w:rPr>
        <w:t>电力设计符合 GB 50052，负荷等级为民用建筑供电等级二级，满足正常照明、监控设备和通风设备等牛舍内相关设备的用电需求。</w:t>
      </w:r>
    </w:p>
    <w:p>
      <w:pPr>
        <w:pStyle w:val="104"/>
        <w:spacing w:before="312" w:after="312"/>
        <w:rPr>
          <w:rFonts w:hint="eastAsia"/>
        </w:rPr>
      </w:pPr>
      <w:r>
        <w:rPr>
          <w:rFonts w:hint="eastAsia"/>
        </w:rPr>
        <w:t>建设</w:t>
      </w:r>
    </w:p>
    <w:p>
      <w:pPr>
        <w:pStyle w:val="105"/>
        <w:spacing w:before="156" w:after="156"/>
        <w:rPr>
          <w:rFonts w:hint="eastAsia"/>
        </w:rPr>
      </w:pPr>
      <w:r>
        <w:rPr>
          <w:rFonts w:hint="eastAsia"/>
        </w:rPr>
        <w:t xml:space="preserve">场内布局 </w:t>
      </w:r>
    </w:p>
    <w:p>
      <w:pPr>
        <w:pStyle w:val="56"/>
        <w:ind w:firstLine="420"/>
        <w:rPr>
          <w:rFonts w:hint="eastAsia"/>
        </w:rPr>
      </w:pPr>
      <w:r>
        <w:rPr>
          <w:rFonts w:hint="eastAsia"/>
        </w:rPr>
        <w:t>牛舍应结合生产区地形地势、当地主导风向、生物安全等条件，按繁育母牛舍、犊牛舍、育肥牛舍等顺序排列。同时按繁殖、育种、育肥不同需求规划牛舍及其配套设施。</w:t>
      </w:r>
    </w:p>
    <w:p>
      <w:pPr>
        <w:pStyle w:val="105"/>
        <w:spacing w:before="156" w:after="156"/>
        <w:rPr>
          <w:rFonts w:hint="eastAsia"/>
        </w:rPr>
      </w:pPr>
      <w:r>
        <w:rPr>
          <w:rFonts w:hint="eastAsia"/>
        </w:rPr>
        <w:t xml:space="preserve">距离 </w:t>
      </w:r>
    </w:p>
    <w:p>
      <w:pPr>
        <w:pStyle w:val="56"/>
        <w:ind w:firstLine="420"/>
        <w:rPr>
          <w:rFonts w:hint="eastAsia"/>
        </w:rPr>
      </w:pPr>
      <w:r>
        <w:rPr>
          <w:rFonts w:hint="eastAsia"/>
        </w:rPr>
        <w:t xml:space="preserve">牛舍距场区围墙3米以上，与其他牛舍距离为牛舍檐高的 3 倍以上。 </w:t>
      </w:r>
    </w:p>
    <w:p>
      <w:pPr>
        <w:pStyle w:val="105"/>
        <w:spacing w:before="156" w:after="156"/>
        <w:rPr>
          <w:rFonts w:hint="eastAsia"/>
        </w:rPr>
      </w:pPr>
      <w:r>
        <w:rPr>
          <w:rFonts w:hint="eastAsia"/>
        </w:rPr>
        <w:t xml:space="preserve">结构  </w:t>
      </w:r>
    </w:p>
    <w:p>
      <w:pPr>
        <w:pStyle w:val="56"/>
        <w:ind w:firstLine="420"/>
      </w:pPr>
      <w:r>
        <w:rPr>
          <w:rFonts w:hint="eastAsia"/>
        </w:rPr>
        <w:t>可根据牛舍设计使用寿命，选择结构和材料。长期使用牛舍宜采用混凝土框架结构、砖混结构、工字钢结构等，临时使用牛舍可采用钢管彩钢结构或棚膜结构等。</w:t>
      </w:r>
    </w:p>
    <w:p>
      <w:pPr>
        <w:pStyle w:val="105"/>
        <w:spacing w:before="156" w:after="156"/>
        <w:rPr>
          <w:rFonts w:hint="eastAsia"/>
        </w:rPr>
      </w:pPr>
      <w:r>
        <w:rPr>
          <w:rFonts w:hint="eastAsia"/>
        </w:rPr>
        <w:t>基础</w:t>
      </w:r>
    </w:p>
    <w:p>
      <w:pPr>
        <w:pStyle w:val="165"/>
        <w:rPr>
          <w:rFonts w:hint="eastAsia"/>
        </w:rPr>
      </w:pPr>
      <w:r>
        <w:rPr>
          <w:rFonts w:hint="eastAsia"/>
        </w:rPr>
        <w:t>地基应有足够的强度和稳定性，符合 GB 50007 规定。</w:t>
      </w:r>
    </w:p>
    <w:p>
      <w:pPr>
        <w:pStyle w:val="165"/>
      </w:pPr>
      <w:r>
        <w:rPr>
          <w:rFonts w:hint="eastAsia"/>
        </w:rPr>
        <w:t>牛舍支撑柱采用独立基础或条形基础，牛舍墙体采用条形基础。</w:t>
      </w:r>
    </w:p>
    <w:p>
      <w:pPr>
        <w:pStyle w:val="105"/>
        <w:spacing w:before="156" w:after="156"/>
        <w:rPr>
          <w:rFonts w:hint="eastAsia"/>
        </w:rPr>
      </w:pPr>
      <w:r>
        <w:rPr>
          <w:rFonts w:hint="eastAsia"/>
        </w:rPr>
        <w:t>屋顶</w:t>
      </w:r>
    </w:p>
    <w:p>
      <w:pPr>
        <w:pStyle w:val="165"/>
        <w:rPr>
          <w:rFonts w:hint="eastAsia"/>
        </w:rPr>
      </w:pPr>
      <w:r>
        <w:rPr>
          <w:rFonts w:hint="eastAsia"/>
        </w:rPr>
        <w:t>屋顶造型根据设计选择防积雪、宜通风采光的结构。</w:t>
      </w:r>
    </w:p>
    <w:p>
      <w:pPr>
        <w:pStyle w:val="165"/>
      </w:pPr>
      <w:r>
        <w:rPr>
          <w:rFonts w:hint="eastAsia"/>
        </w:rPr>
        <w:t>屋顶材质应具有质轻、坚固、耐用、防雨、隔热功能，能抵抗雨雪、强风等外力影响，局部也可选用具有透光性的材料。</w:t>
      </w:r>
    </w:p>
    <w:p>
      <w:pPr>
        <w:pStyle w:val="105"/>
        <w:spacing w:before="156" w:after="156"/>
        <w:rPr>
          <w:rFonts w:hint="eastAsia"/>
        </w:rPr>
      </w:pPr>
      <w:r>
        <w:rPr>
          <w:rFonts w:hint="eastAsia"/>
        </w:rPr>
        <w:t>墙体</w:t>
      </w:r>
    </w:p>
    <w:p>
      <w:pPr>
        <w:pStyle w:val="165"/>
        <w:rPr>
          <w:rFonts w:hint="eastAsia"/>
        </w:rPr>
      </w:pPr>
      <w:r>
        <w:rPr>
          <w:rFonts w:hint="eastAsia"/>
        </w:rPr>
        <w:t>墙体宜采用混凝土、砖混结构、轻钢结构或其他材料，符合 GB 50003 或者 GB 50010 规定，坚固结实、防水，具有良好的保温与隔热性能，内墙面应平整光滑，易于清洗消毒。墙体材质可选用砖石、彩钢、棚膜等。</w:t>
      </w:r>
    </w:p>
    <w:p>
      <w:pPr>
        <w:pStyle w:val="165"/>
        <w:rPr>
          <w:rFonts w:hint="eastAsia"/>
        </w:rPr>
      </w:pPr>
      <w:r>
        <w:rPr>
          <w:rFonts w:hint="eastAsia"/>
        </w:rPr>
        <w:t>墙体结构根据设计确定。</w:t>
      </w:r>
    </w:p>
    <w:p>
      <w:pPr>
        <w:pStyle w:val="56"/>
        <w:ind w:firstLine="420"/>
        <w:rPr>
          <w:rFonts w:hint="eastAsia"/>
        </w:rPr>
      </w:pPr>
      <w:r>
        <w:rPr>
          <w:rFonts w:hint="eastAsia"/>
        </w:rPr>
        <w:t>开放式牛舍墙体为框架，必要时可用卷帘、朔料等活动材料封闭。</w:t>
      </w:r>
    </w:p>
    <w:p>
      <w:pPr>
        <w:pStyle w:val="56"/>
        <w:ind w:firstLine="420"/>
        <w:rPr>
          <w:rFonts w:hint="eastAsia"/>
        </w:rPr>
      </w:pPr>
      <w:r>
        <w:rPr>
          <w:rFonts w:hint="eastAsia"/>
        </w:rPr>
        <w:t>半开放式牛舍背阴侧（一般为北墙）从条形基础至顶棚为全封闭墙体，另一侧为开放式；或者牛舍两侧均建有半高墙体，其余部分为可移动材料。</w:t>
      </w:r>
    </w:p>
    <w:p>
      <w:pPr>
        <w:pStyle w:val="56"/>
        <w:ind w:firstLine="420"/>
      </w:pPr>
      <w:r>
        <w:rPr>
          <w:rFonts w:hint="eastAsia"/>
        </w:rPr>
        <w:t>封闭式牛舍，全舍墙体均由条形基础至顶棚，中间加窗。窗户的设置应符合通风和采光的要求，北向窗户应少设置，面积不宜过大。</w:t>
      </w:r>
    </w:p>
    <w:p>
      <w:pPr>
        <w:pStyle w:val="105"/>
        <w:spacing w:before="156" w:after="156"/>
        <w:rPr>
          <w:rFonts w:hint="eastAsia"/>
        </w:rPr>
      </w:pPr>
      <w:r>
        <w:rPr>
          <w:rFonts w:hint="eastAsia"/>
        </w:rPr>
        <w:t xml:space="preserve">通道设置 </w:t>
      </w:r>
    </w:p>
    <w:p>
      <w:pPr>
        <w:pStyle w:val="165"/>
        <w:rPr>
          <w:rFonts w:hint="eastAsia"/>
        </w:rPr>
      </w:pPr>
      <w:r>
        <w:rPr>
          <w:rFonts w:hint="eastAsia"/>
        </w:rPr>
        <w:t>牛舍应设计饲喂通道和清粪通道，且不交叉。</w:t>
      </w:r>
    </w:p>
    <w:p>
      <w:pPr>
        <w:pStyle w:val="165"/>
        <w:rPr>
          <w:rFonts w:hint="eastAsia"/>
        </w:rPr>
      </w:pPr>
      <w:r>
        <w:rPr>
          <w:rFonts w:hint="eastAsia"/>
        </w:rPr>
        <w:t>舍内饲喂通道宽度应与饲料运输工具相符，清粪通道应满足清粪器具自由进出。</w:t>
      </w:r>
    </w:p>
    <w:p>
      <w:pPr>
        <w:pStyle w:val="165"/>
        <w:rPr>
          <w:rFonts w:hint="eastAsia"/>
        </w:rPr>
      </w:pPr>
      <w:r>
        <w:rPr>
          <w:rFonts w:hint="eastAsia"/>
        </w:rPr>
        <w:t>饲喂通道应高于养殖场区净道，并在舍外通过缓坡形式与净道相连。</w:t>
      </w:r>
    </w:p>
    <w:p>
      <w:pPr>
        <w:pStyle w:val="165"/>
      </w:pPr>
      <w:r>
        <w:rPr>
          <w:rFonts w:hint="eastAsia"/>
        </w:rPr>
        <w:t>清粪通道应高于养殖场区污道，并在舍外通过缓坡形式与污道相连。</w:t>
      </w:r>
    </w:p>
    <w:p>
      <w:pPr>
        <w:pStyle w:val="105"/>
        <w:spacing w:before="156" w:after="156"/>
        <w:rPr>
          <w:rFonts w:hint="eastAsia"/>
        </w:rPr>
      </w:pPr>
      <w:r>
        <w:rPr>
          <w:rFonts w:hint="eastAsia"/>
        </w:rPr>
        <w:t>门</w:t>
      </w:r>
    </w:p>
    <w:p>
      <w:pPr>
        <w:pStyle w:val="165"/>
        <w:rPr>
          <w:rFonts w:hint="eastAsia"/>
        </w:rPr>
      </w:pPr>
      <w:r>
        <w:rPr>
          <w:rFonts w:hint="eastAsia"/>
        </w:rPr>
        <w:t>门应向外开放，或者向上收缩、向两侧平移，门口不设置台阶和门槛。</w:t>
      </w:r>
    </w:p>
    <w:p>
      <w:pPr>
        <w:pStyle w:val="165"/>
        <w:rPr>
          <w:rFonts w:hint="eastAsia"/>
        </w:rPr>
      </w:pPr>
      <w:r>
        <w:rPr>
          <w:rFonts w:hint="eastAsia"/>
        </w:rPr>
        <w:t>饲喂通道大门的宽度宜2 m以上，高度宜2 m以上，应与饲料运输工具相符。</w:t>
      </w:r>
    </w:p>
    <w:p>
      <w:pPr>
        <w:pStyle w:val="165"/>
        <w:rPr>
          <w:rFonts w:hint="eastAsia"/>
        </w:rPr>
      </w:pPr>
      <w:r>
        <w:rPr>
          <w:rFonts w:hint="eastAsia"/>
        </w:rPr>
        <w:t>清粪通道大门宜建于饲喂通道大门对侧位置的两侧，应满足清粪器具自由进出。</w:t>
      </w:r>
    </w:p>
    <w:p>
      <w:pPr>
        <w:pStyle w:val="165"/>
        <w:rPr>
          <w:rFonts w:hint="eastAsia"/>
        </w:rPr>
      </w:pPr>
      <w:r>
        <w:rPr>
          <w:rFonts w:hint="eastAsia"/>
        </w:rPr>
        <w:t>固定分群围栏每个区域应设有一扇门，作为清粪通道。</w:t>
      </w:r>
    </w:p>
    <w:p>
      <w:pPr>
        <w:pStyle w:val="165"/>
      </w:pPr>
      <w:r>
        <w:rPr>
          <w:rFonts w:hint="eastAsia"/>
        </w:rPr>
        <w:t>进入运动场的门应满足牛自由出入。</w:t>
      </w:r>
    </w:p>
    <w:p>
      <w:pPr>
        <w:pStyle w:val="105"/>
        <w:spacing w:before="156" w:after="156"/>
        <w:rPr>
          <w:rFonts w:hint="eastAsia"/>
        </w:rPr>
      </w:pPr>
      <w:r>
        <w:rPr>
          <w:rFonts w:hint="eastAsia"/>
        </w:rPr>
        <w:t>地面</w:t>
      </w:r>
    </w:p>
    <w:p>
      <w:pPr>
        <w:pStyle w:val="165"/>
        <w:rPr>
          <w:rFonts w:hint="eastAsia"/>
        </w:rPr>
      </w:pPr>
      <w:r>
        <w:rPr>
          <w:rFonts w:hint="eastAsia"/>
        </w:rPr>
        <w:t>牛舍内活动区域地面，低于饲喂通道地面，高于牛舍外地面，与运动场地面缓坡相连。</w:t>
      </w:r>
    </w:p>
    <w:p>
      <w:pPr>
        <w:pStyle w:val="165"/>
        <w:rPr>
          <w:rFonts w:hint="eastAsia"/>
        </w:rPr>
      </w:pPr>
      <w:r>
        <w:rPr>
          <w:rFonts w:hint="eastAsia"/>
        </w:rPr>
        <w:t>地面应结实、防滑、易于清理，可采用水泥地面，坡度控制在2%～3%，向粪污沟倾斜。</w:t>
      </w:r>
    </w:p>
    <w:p>
      <w:pPr>
        <w:pStyle w:val="165"/>
      </w:pPr>
      <w:r>
        <w:rPr>
          <w:rFonts w:hint="eastAsia"/>
        </w:rPr>
        <w:t>地面铺设垫料的，垫料厚度应超过20 cm。</w:t>
      </w:r>
    </w:p>
    <w:p>
      <w:pPr>
        <w:pStyle w:val="104"/>
        <w:spacing w:before="312" w:after="312"/>
        <w:rPr>
          <w:rFonts w:hint="eastAsia"/>
        </w:rPr>
      </w:pPr>
      <w:r>
        <w:rPr>
          <w:rFonts w:hint="eastAsia"/>
        </w:rPr>
        <w:t>内部布局</w:t>
      </w:r>
    </w:p>
    <w:p>
      <w:pPr>
        <w:pStyle w:val="162"/>
        <w:rPr>
          <w:rFonts w:hint="eastAsia"/>
        </w:rPr>
      </w:pPr>
      <w:r>
        <w:rPr>
          <w:rFonts w:hint="eastAsia"/>
        </w:rPr>
        <w:t>单列式牛舍一侧为饲喂通道，一侧为牛床或肉牛活动区含清粪通道。</w:t>
      </w:r>
    </w:p>
    <w:p>
      <w:pPr>
        <w:pStyle w:val="162"/>
        <w:rPr>
          <w:rFonts w:hint="eastAsia"/>
        </w:rPr>
      </w:pPr>
      <w:r>
        <w:rPr>
          <w:rFonts w:hint="eastAsia"/>
        </w:rPr>
        <w:t>双列式牛舍饲喂通道在中间或两侧，清粪通道与之相反。</w:t>
      </w:r>
    </w:p>
    <w:p>
      <w:pPr>
        <w:pStyle w:val="162"/>
        <w:rPr>
          <w:rFonts w:hint="eastAsia"/>
        </w:rPr>
      </w:pPr>
      <w:r>
        <w:rPr>
          <w:rFonts w:hint="eastAsia"/>
        </w:rPr>
        <w:t>多列式牛舍表现为饲喂通道和清粪通道互相间隔，不交叉。</w:t>
      </w:r>
    </w:p>
    <w:p>
      <w:pPr>
        <w:pStyle w:val="162"/>
      </w:pPr>
      <w:r>
        <w:rPr>
          <w:rFonts w:hint="eastAsia"/>
        </w:rPr>
        <w:t>母牛舍、犊牛舍、育肥牛舍、种公牛舍内部布局因功能不同而各异。</w:t>
      </w:r>
    </w:p>
    <w:p>
      <w:pPr>
        <w:pStyle w:val="104"/>
        <w:spacing w:before="312" w:after="312"/>
        <w:rPr>
          <w:rFonts w:hint="eastAsia"/>
        </w:rPr>
      </w:pPr>
      <w:r>
        <w:rPr>
          <w:rFonts w:hint="eastAsia"/>
        </w:rPr>
        <w:t>内部设施</w:t>
      </w:r>
    </w:p>
    <w:p>
      <w:pPr>
        <w:pStyle w:val="162"/>
        <w:rPr>
          <w:rFonts w:hint="eastAsia"/>
        </w:rPr>
      </w:pPr>
      <w:r>
        <w:rPr>
          <w:rFonts w:hint="eastAsia"/>
        </w:rPr>
        <w:t>饲养围栏或者分群围栏杆高度应根据肉牛品种而定，宜采用坚固耐用的钢管或铸铁管。</w:t>
      </w:r>
    </w:p>
    <w:p>
      <w:pPr>
        <w:pStyle w:val="162"/>
        <w:rPr>
          <w:rFonts w:hint="eastAsia"/>
        </w:rPr>
      </w:pPr>
      <w:r>
        <w:rPr>
          <w:rFonts w:hint="eastAsia"/>
        </w:rPr>
        <w:t>饲养围栏分为简易栏和限位（带颈夹）栏两种。</w:t>
      </w:r>
    </w:p>
    <w:p>
      <w:pPr>
        <w:pStyle w:val="162"/>
        <w:rPr>
          <w:rFonts w:hint="eastAsia"/>
        </w:rPr>
      </w:pPr>
      <w:r>
        <w:rPr>
          <w:rFonts w:hint="eastAsia"/>
        </w:rPr>
        <w:t>分群围栏分为活动围栏和固定围栏两种。</w:t>
      </w:r>
    </w:p>
    <w:p>
      <w:pPr>
        <w:pStyle w:val="162"/>
        <w:rPr>
          <w:rFonts w:hint="eastAsia"/>
        </w:rPr>
      </w:pPr>
      <w:r>
        <w:rPr>
          <w:rFonts w:hint="eastAsia"/>
        </w:rPr>
        <w:t>饲槽分为独立饲槽和与饲喂通道一体的料道，独立饲槽可分为石质、水泥、铁制、木质等。</w:t>
      </w:r>
    </w:p>
    <w:p>
      <w:pPr>
        <w:pStyle w:val="162"/>
        <w:rPr>
          <w:rFonts w:hint="eastAsia"/>
        </w:rPr>
      </w:pPr>
      <w:r>
        <w:rPr>
          <w:rFonts w:hint="eastAsia"/>
        </w:rPr>
        <w:t>饮水器具分为水槽（共用）、水桶（单用）、连接水箱或水源的自动饮水器等。冬季可选用恒温水槽。</w:t>
      </w:r>
    </w:p>
    <w:p>
      <w:pPr>
        <w:pStyle w:val="162"/>
        <w:rPr>
          <w:rFonts w:hint="eastAsia"/>
        </w:rPr>
      </w:pPr>
      <w:r>
        <w:rPr>
          <w:rFonts w:hint="eastAsia"/>
        </w:rPr>
        <w:t>设置粪尿沟的应与污水收集池相连。</w:t>
      </w:r>
    </w:p>
    <w:p>
      <w:pPr>
        <w:pStyle w:val="162"/>
      </w:pPr>
      <w:r>
        <w:rPr>
          <w:rFonts w:hint="eastAsia"/>
        </w:rPr>
        <w:t>宜采用光谱较全的灯具进行照明，地面照度 100-500 Lx。</w:t>
      </w:r>
    </w:p>
    <w:p>
      <w:pPr>
        <w:pStyle w:val="104"/>
        <w:spacing w:before="312" w:after="312"/>
        <w:rPr>
          <w:rFonts w:hint="eastAsia"/>
        </w:rPr>
      </w:pPr>
      <w:r>
        <w:rPr>
          <w:rFonts w:hint="eastAsia"/>
        </w:rPr>
        <w:t>配套设施</w:t>
      </w:r>
    </w:p>
    <w:p>
      <w:pPr>
        <w:pStyle w:val="105"/>
        <w:spacing w:before="156" w:after="156"/>
        <w:rPr>
          <w:rFonts w:hint="eastAsia"/>
        </w:rPr>
      </w:pPr>
      <w:r>
        <w:rPr>
          <w:rFonts w:hint="eastAsia"/>
        </w:rPr>
        <w:t>卫生防疫</w:t>
      </w:r>
    </w:p>
    <w:p>
      <w:pPr>
        <w:pStyle w:val="56"/>
        <w:ind w:firstLine="420"/>
        <w:rPr>
          <w:rFonts w:hint="eastAsia"/>
        </w:rPr>
      </w:pPr>
      <w:r>
        <w:rPr>
          <w:rFonts w:hint="eastAsia"/>
        </w:rPr>
        <w:t>牛舍入口应配备消毒池或消毒垫，舍内喷雾消毒系统等所需设施设备。</w:t>
      </w:r>
    </w:p>
    <w:p>
      <w:pPr>
        <w:pStyle w:val="105"/>
        <w:spacing w:before="156" w:after="156"/>
        <w:rPr>
          <w:rFonts w:hint="eastAsia"/>
        </w:rPr>
      </w:pPr>
      <w:r>
        <w:rPr>
          <w:rFonts w:hint="eastAsia"/>
        </w:rPr>
        <w:t>粪污收集</w:t>
      </w:r>
    </w:p>
    <w:p>
      <w:pPr>
        <w:pStyle w:val="56"/>
        <w:ind w:firstLine="420"/>
        <w:rPr>
          <w:rFonts w:hint="eastAsia"/>
        </w:rPr>
      </w:pPr>
      <w:r>
        <w:rPr>
          <w:rFonts w:hint="eastAsia"/>
        </w:rPr>
        <w:t>可设置粪污清理固定和可移动设施设备。</w:t>
      </w:r>
    </w:p>
    <w:p>
      <w:pPr>
        <w:pStyle w:val="105"/>
        <w:spacing w:before="156" w:after="156"/>
        <w:rPr>
          <w:rFonts w:hint="eastAsia"/>
        </w:rPr>
      </w:pPr>
      <w:r>
        <w:rPr>
          <w:rFonts w:hint="eastAsia"/>
        </w:rPr>
        <w:t xml:space="preserve">福利设施 </w:t>
      </w:r>
    </w:p>
    <w:p>
      <w:pPr>
        <w:pStyle w:val="56"/>
        <w:ind w:firstLine="420"/>
        <w:rPr>
          <w:rFonts w:hint="eastAsia"/>
        </w:rPr>
      </w:pPr>
      <w:r>
        <w:rPr>
          <w:rFonts w:hint="eastAsia"/>
        </w:rPr>
        <w:t>配备玩具、牛体刷、音响等设施设备（参照文件）。</w:t>
      </w:r>
    </w:p>
    <w:p>
      <w:pPr>
        <w:pStyle w:val="105"/>
        <w:spacing w:before="156" w:after="156"/>
        <w:rPr>
          <w:rFonts w:hint="eastAsia"/>
        </w:rPr>
      </w:pPr>
      <w:r>
        <w:rPr>
          <w:rFonts w:hint="eastAsia"/>
        </w:rPr>
        <w:t>监控设备</w:t>
      </w:r>
    </w:p>
    <w:p>
      <w:pPr>
        <w:pStyle w:val="165"/>
        <w:rPr>
          <w:rFonts w:hint="eastAsia"/>
        </w:rPr>
      </w:pPr>
      <w:r>
        <w:rPr>
          <w:rFonts w:hint="eastAsia"/>
        </w:rPr>
        <w:t>配备舍内外温度、湿度、运动等监控探头和控制系统设施设备。</w:t>
      </w:r>
    </w:p>
    <w:p>
      <w:pPr>
        <w:pStyle w:val="165"/>
        <w:rPr>
          <w:rFonts w:hint="eastAsia"/>
        </w:rPr>
      </w:pPr>
      <w:r>
        <w:rPr>
          <w:rFonts w:hint="eastAsia"/>
        </w:rPr>
        <w:t>牛舍空气环境质量应符合 NY/T 388 要求。</w:t>
      </w:r>
    </w:p>
    <w:p>
      <w:pPr>
        <w:pStyle w:val="165"/>
        <w:rPr>
          <w:rFonts w:hint="eastAsia"/>
        </w:rPr>
      </w:pPr>
      <w:r>
        <w:rPr>
          <w:rFonts w:hint="eastAsia"/>
        </w:rPr>
        <w:t>牛舍应设置防寒保暖措施，通风可采用自然通风或机械通风。</w:t>
      </w:r>
    </w:p>
    <w:p>
      <w:pPr>
        <w:pStyle w:val="105"/>
        <w:spacing w:before="156" w:after="156"/>
        <w:rPr>
          <w:rFonts w:hint="eastAsia"/>
        </w:rPr>
      </w:pPr>
      <w:r>
        <w:rPr>
          <w:rFonts w:hint="eastAsia"/>
        </w:rPr>
        <w:t>其他</w:t>
      </w:r>
    </w:p>
    <w:p>
      <w:pPr>
        <w:pStyle w:val="165"/>
        <w:rPr>
          <w:rFonts w:hint="eastAsia"/>
        </w:rPr>
      </w:pPr>
      <w:r>
        <w:rPr>
          <w:rFonts w:hint="eastAsia"/>
        </w:rPr>
        <w:t>宜根据需要配置运动场、保定架、称重装置和装卸台等设施。</w:t>
      </w:r>
    </w:p>
    <w:p>
      <w:pPr>
        <w:pStyle w:val="165"/>
        <w:rPr>
          <w:rFonts w:hint="eastAsia"/>
        </w:rPr>
      </w:pPr>
      <w:r>
        <w:rPr>
          <w:rFonts w:hint="eastAsia"/>
        </w:rPr>
        <w:t>室外运动场在日照强烈季节设遮阳棚或遮阳网。</w:t>
      </w:r>
    </w:p>
    <w:bookmarkEnd w:id="23"/>
    <w:p>
      <w:pPr>
        <w:pStyle w:val="56"/>
        <w:ind w:firstLine="0" w:firstLineChars="0"/>
        <w:jc w:val="center"/>
      </w:pPr>
      <w:bookmarkStart w:id="45" w:name="BookMark8"/>
      <w:r>
        <w:drawing>
          <wp:inline distT="0" distB="0" distL="0" distR="0">
            <wp:extent cx="1485900" cy="317500"/>
            <wp:effectExtent l="0" t="0" r="0" b="6350"/>
            <wp:docPr id="1992566797" name="图片 1"/>
            <wp:cNvGraphicFramePr/>
            <a:graphic xmlns:a="http://schemas.openxmlformats.org/drawingml/2006/main">
              <a:graphicData uri="http://schemas.openxmlformats.org/drawingml/2006/picture">
                <pic:pic xmlns:pic="http://schemas.openxmlformats.org/drawingml/2006/picture">
                  <pic:nvPicPr>
                    <pic:cNvPr id="1992566797" name="图片 1"/>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5"/>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hint="eastAsia"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rPr>
        <w:rFonts w:hint="eastAsia"/>
      </w:rPr>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uwVLzQmiYVElgKNTsgQfF3UPcRMBaDdmKTgyVZKPRaUXfjFPNKoyx2Uf7kvq3CvBRughs4JthQcLJGHL65d7FQ==" w:salt="4dzQy3zNoaysBtYes6g+v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3YWM2MDE3M2ExM2IyNzVhYWY2ZjE1ZGNhOWI3MWIifQ=="/>
  </w:docVars>
  <w:rsids>
    <w:rsidRoot w:val="00A51959"/>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1EE6"/>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22DB"/>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527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1959"/>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982"/>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8AD"/>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4ED"/>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17551D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uiPriority w:val="0"/>
    <w:rPr>
      <w:b/>
      <w:bCs/>
      <w:kern w:val="2"/>
      <w:sz w:val="28"/>
      <w:szCs w:val="28"/>
    </w:rPr>
  </w:style>
  <w:style w:type="character" w:customStyle="1" w:styleId="39">
    <w:name w:val="标题 6 字符"/>
    <w:link w:val="7"/>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uiPriority w:val="0"/>
    <w:rPr>
      <w:rFonts w:ascii="Arial" w:hAnsi="Arial" w:eastAsia="黑体"/>
      <w:kern w:val="2"/>
      <w:sz w:val="21"/>
      <w:szCs w:val="21"/>
    </w:rPr>
  </w:style>
  <w:style w:type="character" w:customStyle="1" w:styleId="43">
    <w:name w:val="页眉 字符"/>
    <w:link w:val="18"/>
    <w:uiPriority w:val="99"/>
    <w:rPr>
      <w:kern w:val="2"/>
      <w:sz w:val="18"/>
      <w:szCs w:val="18"/>
    </w:rPr>
  </w:style>
  <w:style w:type="character" w:customStyle="1" w:styleId="44">
    <w:name w:val="页脚 字符"/>
    <w:link w:val="17"/>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uiPriority w:val="29"/>
    <w:rPr>
      <w:i/>
      <w:iCs/>
      <w:color w:val="000000"/>
      <w:kern w:val="2"/>
      <w:sz w:val="21"/>
      <w:szCs w:val="21"/>
    </w:rPr>
  </w:style>
  <w:style w:type="character" w:customStyle="1" w:styleId="48">
    <w:name w:val="标题 字符"/>
    <w:link w:val="25"/>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uiPriority w:val="0"/>
    <w:pPr>
      <w:jc w:val="left"/>
    </w:pPr>
  </w:style>
  <w:style w:type="paragraph" w:customStyle="1" w:styleId="63">
    <w:name w:val="标准文件_参考文献标题"/>
    <w:basedOn w:val="1"/>
    <w:next w:val="1"/>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jpe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EE6354E0BDD849FEB113426B826C6B64"/>
        <w:style w:val=""/>
        <w:category>
          <w:name w:val="常规"/>
          <w:gallery w:val="placeholder"/>
        </w:category>
        <w:types>
          <w:type w:val="bbPlcHdr"/>
        </w:types>
        <w:behaviors>
          <w:behavior w:val="content"/>
        </w:behaviors>
        <w:description w:val=""/>
        <w:guid w:val="{9910BDC3-250E-490E-BC1D-FB6F4DD4C4E7}"/>
      </w:docPartPr>
      <w:docPartBody>
        <w:p>
          <w:pPr>
            <w:pStyle w:val="5"/>
          </w:pPr>
          <w:r>
            <w:rPr>
              <w:rStyle w:val="4"/>
              <w:rFonts w:hint="eastAsia"/>
            </w:rPr>
            <w:t>单击或点击此处输入文字。</w:t>
          </w:r>
        </w:p>
      </w:docPartBody>
    </w:docPart>
    <w:docPart>
      <w:docPartPr>
        <w:name w:val="1605B51B11EE4FAF876B8D8C7DDD5C3A"/>
        <w:style w:val=""/>
        <w:category>
          <w:name w:val="常规"/>
          <w:gallery w:val="placeholder"/>
        </w:category>
        <w:types>
          <w:type w:val="bbPlcHdr"/>
        </w:types>
        <w:behaviors>
          <w:behavior w:val="content"/>
        </w:behaviors>
        <w:description w:val=""/>
        <w:guid w:val="{00E2D9CF-497E-4AE4-A603-9231C2AC25BB}"/>
      </w:docPartPr>
      <w:docPartBody>
        <w:p>
          <w:pPr>
            <w:pStyle w:val="6"/>
          </w:pPr>
          <w:r>
            <w:rPr>
              <w:rStyle w:val="4"/>
              <w:rFonts w:hint="eastAsia"/>
            </w:rPr>
            <w:t>选择一项。</w:t>
          </w:r>
        </w:p>
      </w:docPartBody>
    </w:docPart>
    <w:docPart>
      <w:docPartPr>
        <w:name w:val="7C383C53BC7948D5A08CF09DD11ABCB9"/>
        <w:style w:val=""/>
        <w:category>
          <w:name w:val="常规"/>
          <w:gallery w:val="placeholder"/>
        </w:category>
        <w:types>
          <w:type w:val="bbPlcHdr"/>
        </w:types>
        <w:behaviors>
          <w:behavior w:val="content"/>
        </w:behaviors>
        <w:description w:val=""/>
        <w:guid w:val="{0BC8588B-39A0-4C16-ABAF-69C47B6A92FC}"/>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5A8"/>
    <w:rsid w:val="00301EE6"/>
    <w:rsid w:val="007405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EE6354E0BDD849FEB113426B826C6B64"/>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6">
    <w:name w:val="1605B51B11EE4FAF876B8D8C7DDD5C3A"/>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customStyle="1" w:styleId="7">
    <w:name w:val="7C383C53BC7948D5A08CF09DD11ABCB9"/>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8</Pages>
  <Words>3506</Words>
  <Characters>3825</Characters>
  <Lines>413</Lines>
  <Paragraphs>371</Paragraphs>
  <TotalTime>20</TotalTime>
  <ScaleCrop>false</ScaleCrop>
  <LinksUpToDate>false</LinksUpToDate>
  <CharactersWithSpaces>3987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2024-08-06T06:42:00Z</dcterms:created>
  <dc:creator>L</dc:creator>
  <dc:description>&lt;config cover="true" show_menu="true" version="1.0.0" doctype="SDKXY"&gt;_x000d_
&lt;/config&gt;</dc:description>
  <cp:lastModifiedBy>slby</cp:lastModifiedBy>
  <cp:lastPrinted>2020-08-30T10:00:00Z</cp:lastPrinted>
  <dcterms:modified xsi:type="dcterms:W3CDTF">2024-08-06T07:18:38Z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2052-12.1.0.16929</vt:lpwstr>
  </property>
  <property fmtid="{D5CDD505-2E9C-101B-9397-08002B2CF9AE}" pid="15" name="ICV">
    <vt:lpwstr>F45D05557F8D4FC387EA97E46F0A1E97_12</vt:lpwstr>
  </property>
</Properties>
</file>