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65.020.30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43     </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2201</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2201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肉牛牛舍建设规范 第2部分：种公牛</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   for construction of beef cattle sheds Part Breedingbull</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bookmarkStart w:id="45" w:name="_GoBack"/>
      <w:bookmarkEnd w:id="45"/>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长春市市场监督管理局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before="900" w:after="468"/>
      </w:pPr>
      <w:bookmarkStart w:id="21" w:name="BookMark2"/>
      <w:r>
        <w:rPr>
          <w:spacing w:val="320"/>
        </w:rPr>
        <w:t>前</w:t>
      </w:r>
      <w:r>
        <w:t>言</w:t>
      </w:r>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ascii="Times New Roman"/>
          <w:color w:val="000000"/>
          <w:szCs w:val="21"/>
        </w:rPr>
      </w:pPr>
      <w:r>
        <w:rPr>
          <w:rFonts w:hint="eastAsia" w:hAnsi="宋体"/>
          <w:color w:val="000000"/>
        </w:rPr>
        <w:t>本文件是</w:t>
      </w:r>
      <w:r>
        <w:rPr>
          <w:rFonts w:ascii="Times New Roman"/>
          <w:color w:val="000000"/>
        </w:rPr>
        <w:t>DB2201/T XXX</w:t>
      </w:r>
      <w:r>
        <w:rPr>
          <w:rFonts w:hint="eastAsia" w:hAnsi="宋体"/>
          <w:color w:val="000000"/>
        </w:rPr>
        <w:t>《肉牛</w:t>
      </w:r>
      <w:r>
        <w:rPr>
          <w:rFonts w:hAnsi="宋体"/>
          <w:color w:val="000000"/>
        </w:rPr>
        <w:t>牛舍建设规范</w:t>
      </w:r>
      <w:r>
        <w:rPr>
          <w:rFonts w:hint="eastAsia" w:hAnsi="宋体"/>
          <w:color w:val="000000"/>
        </w:rPr>
        <w:t>》的</w:t>
      </w:r>
      <w:r>
        <w:rPr>
          <w:rFonts w:hAnsi="宋体"/>
          <w:color w:val="000000"/>
        </w:rPr>
        <w:t>第</w:t>
      </w:r>
      <w:r>
        <w:rPr>
          <w:rFonts w:hint="eastAsia" w:ascii="Times New Roman"/>
          <w:color w:val="000000"/>
        </w:rPr>
        <w:t xml:space="preserve"> 2 </w:t>
      </w:r>
      <w:r>
        <w:rPr>
          <w:rFonts w:hint="eastAsia" w:hAnsi="宋体"/>
          <w:color w:val="000000"/>
        </w:rPr>
        <w:t>部分。</w:t>
      </w:r>
      <w:r>
        <w:rPr>
          <w:rFonts w:ascii="Times New Roman"/>
          <w:color w:val="000000"/>
        </w:rPr>
        <w:t xml:space="preserve">DB2201/T XXX </w:t>
      </w:r>
      <w:r>
        <w:rPr>
          <w:rFonts w:hint="eastAsia" w:hAnsi="宋体"/>
          <w:color w:val="000000"/>
        </w:rPr>
        <w:t>已经</w:t>
      </w:r>
      <w:r>
        <w:rPr>
          <w:rFonts w:hAnsi="宋体"/>
          <w:color w:val="000000"/>
        </w:rPr>
        <w:t>发布了</w:t>
      </w:r>
      <w:r>
        <w:rPr>
          <w:rFonts w:hint="eastAsia" w:hAnsi="宋体"/>
          <w:color w:val="000000"/>
        </w:rPr>
        <w:t>以下</w:t>
      </w:r>
      <w:r>
        <w:rPr>
          <w:rFonts w:hAnsi="宋体"/>
          <w:color w:val="000000"/>
        </w:rPr>
        <w:t>部分：</w:t>
      </w:r>
    </w:p>
    <w:p>
      <w:pPr>
        <w:pStyle w:val="56"/>
        <w:ind w:firstLine="420"/>
        <w:rPr>
          <w:rFonts w:ascii="Times New Roman"/>
          <w:color w:val="000000"/>
        </w:rPr>
      </w:pPr>
      <w:r>
        <w:rPr>
          <w:rFonts w:ascii="Times New Roman"/>
          <w:color w:val="000000"/>
        </w:rPr>
        <w:t>——</w:t>
      </w:r>
      <w:r>
        <w:rPr>
          <w:rFonts w:hAnsi="宋体"/>
          <w:color w:val="000000"/>
        </w:rPr>
        <w:t>第</w:t>
      </w:r>
      <w:r>
        <w:rPr>
          <w:rFonts w:hint="eastAsia" w:ascii="Times New Roman"/>
          <w:color w:val="000000"/>
        </w:rPr>
        <w:t xml:space="preserve"> 1 </w:t>
      </w:r>
      <w:r>
        <w:rPr>
          <w:rFonts w:hint="eastAsia" w:hAnsi="宋体"/>
          <w:color w:val="000000"/>
        </w:rPr>
        <w:t>部分</w:t>
      </w:r>
      <w:r>
        <w:rPr>
          <w:rFonts w:hAnsi="宋体"/>
          <w:color w:val="000000"/>
        </w:rPr>
        <w:t>：总则</w:t>
      </w:r>
    </w:p>
    <w:p>
      <w:pPr>
        <w:pStyle w:val="56"/>
        <w:ind w:firstLine="420"/>
        <w:rPr>
          <w:rFonts w:ascii="Times New Roman"/>
          <w:color w:val="000000"/>
        </w:rPr>
      </w:pPr>
      <w:r>
        <w:rPr>
          <w:rFonts w:ascii="Times New Roman"/>
          <w:color w:val="000000"/>
        </w:rPr>
        <w:t>——</w:t>
      </w:r>
      <w:r>
        <w:rPr>
          <w:rFonts w:hint="eastAsia" w:hAnsi="宋体"/>
          <w:color w:val="000000"/>
        </w:rPr>
        <w:t>第</w:t>
      </w:r>
      <w:r>
        <w:rPr>
          <w:rFonts w:hint="eastAsia" w:ascii="Times New Roman"/>
          <w:color w:val="000000"/>
        </w:rPr>
        <w:t xml:space="preserve"> 2</w:t>
      </w:r>
      <w:r>
        <w:rPr>
          <w:rFonts w:ascii="Times New Roman"/>
          <w:color w:val="000000"/>
        </w:rPr>
        <w:t xml:space="preserve"> </w:t>
      </w:r>
      <w:r>
        <w:rPr>
          <w:rFonts w:hint="eastAsia" w:hAnsi="宋体"/>
          <w:color w:val="000000"/>
        </w:rPr>
        <w:t>部分</w:t>
      </w:r>
      <w:r>
        <w:rPr>
          <w:rFonts w:hAnsi="宋体"/>
          <w:color w:val="000000"/>
        </w:rPr>
        <w:t>：</w:t>
      </w:r>
      <w:r>
        <w:rPr>
          <w:rFonts w:hint="eastAsia" w:hAnsi="宋体"/>
          <w:color w:val="000000"/>
        </w:rPr>
        <w:t>种公牛</w:t>
      </w:r>
    </w:p>
    <w:p>
      <w:pPr>
        <w:pStyle w:val="56"/>
        <w:ind w:firstLine="420"/>
        <w:rPr>
          <w:rFonts w:ascii="Times New Roman"/>
          <w:color w:val="000000"/>
        </w:rPr>
      </w:pPr>
      <w:r>
        <w:rPr>
          <w:rFonts w:ascii="Times New Roman"/>
          <w:color w:val="000000"/>
        </w:rPr>
        <w:t>——</w:t>
      </w:r>
      <w:r>
        <w:rPr>
          <w:rFonts w:hint="eastAsia" w:hAnsi="宋体"/>
          <w:color w:val="000000"/>
        </w:rPr>
        <w:t>第</w:t>
      </w:r>
      <w:r>
        <w:rPr>
          <w:rFonts w:hint="eastAsia" w:ascii="Times New Roman"/>
          <w:color w:val="000000"/>
        </w:rPr>
        <w:t xml:space="preserve"> 3 </w:t>
      </w:r>
      <w:r>
        <w:rPr>
          <w:rFonts w:hint="eastAsia" w:hAnsi="宋体"/>
          <w:color w:val="000000"/>
        </w:rPr>
        <w:t>部分</w:t>
      </w:r>
      <w:r>
        <w:rPr>
          <w:rFonts w:hAnsi="宋体"/>
          <w:color w:val="000000"/>
        </w:rPr>
        <w:t>：</w:t>
      </w:r>
      <w:r>
        <w:rPr>
          <w:rFonts w:hint="eastAsia" w:hAnsi="宋体"/>
          <w:color w:val="000000"/>
        </w:rPr>
        <w:t>种母牛</w:t>
      </w:r>
    </w:p>
    <w:p>
      <w:pPr>
        <w:pStyle w:val="56"/>
        <w:ind w:firstLine="420"/>
        <w:rPr>
          <w:rFonts w:ascii="Times New Roman"/>
          <w:color w:val="000000"/>
        </w:rPr>
      </w:pPr>
      <w:r>
        <w:rPr>
          <w:rFonts w:ascii="Times New Roman"/>
          <w:color w:val="000000"/>
        </w:rPr>
        <w:t>——</w:t>
      </w:r>
      <w:r>
        <w:rPr>
          <w:rFonts w:hint="eastAsia" w:hAnsi="宋体"/>
          <w:color w:val="000000"/>
        </w:rPr>
        <w:t>第</w:t>
      </w:r>
      <w:r>
        <w:rPr>
          <w:rFonts w:hint="eastAsia" w:ascii="Times New Roman"/>
          <w:color w:val="000000"/>
        </w:rPr>
        <w:t xml:space="preserve"> 4 </w:t>
      </w:r>
      <w:r>
        <w:rPr>
          <w:rFonts w:hint="eastAsia" w:hAnsi="宋体"/>
          <w:color w:val="000000"/>
        </w:rPr>
        <w:t>部分</w:t>
      </w:r>
      <w:r>
        <w:rPr>
          <w:rFonts w:hAnsi="宋体"/>
          <w:color w:val="000000"/>
        </w:rPr>
        <w:t>：</w:t>
      </w:r>
      <w:r>
        <w:rPr>
          <w:rFonts w:hint="eastAsia" w:hAnsi="宋体"/>
          <w:color w:val="000000"/>
        </w:rPr>
        <w:t>基础母牛</w:t>
      </w:r>
    </w:p>
    <w:p>
      <w:pPr>
        <w:pStyle w:val="56"/>
        <w:ind w:firstLine="420"/>
        <w:rPr>
          <w:rFonts w:ascii="Times New Roman"/>
          <w:color w:val="000000"/>
        </w:rPr>
      </w:pPr>
      <w:r>
        <w:rPr>
          <w:rFonts w:ascii="Times New Roman"/>
          <w:color w:val="000000"/>
        </w:rPr>
        <w:t>——</w:t>
      </w:r>
      <w:r>
        <w:rPr>
          <w:rFonts w:hint="eastAsia" w:hAnsi="宋体"/>
          <w:color w:val="000000"/>
        </w:rPr>
        <w:t>第</w:t>
      </w:r>
      <w:r>
        <w:rPr>
          <w:rFonts w:hint="eastAsia" w:ascii="Times New Roman"/>
          <w:color w:val="000000"/>
        </w:rPr>
        <w:t xml:space="preserve"> 5 </w:t>
      </w:r>
      <w:r>
        <w:rPr>
          <w:rFonts w:hint="eastAsia" w:hAnsi="宋体"/>
          <w:color w:val="000000"/>
        </w:rPr>
        <w:t>部分</w:t>
      </w:r>
      <w:r>
        <w:rPr>
          <w:rFonts w:hAnsi="宋体"/>
          <w:color w:val="000000"/>
        </w:rPr>
        <w:t>：</w:t>
      </w:r>
      <w:r>
        <w:rPr>
          <w:rFonts w:hint="eastAsia" w:hAnsi="宋体"/>
          <w:color w:val="000000"/>
        </w:rPr>
        <w:t>育肥牛</w:t>
      </w:r>
    </w:p>
    <w:p>
      <w:pPr>
        <w:pStyle w:val="56"/>
        <w:ind w:firstLine="420"/>
        <w:rPr>
          <w:rFonts w:hint="eastAsia" w:ascii="Times New Roman"/>
        </w:rPr>
      </w:pPr>
      <w:r>
        <w:rPr>
          <w:rFonts w:hint="eastAsia" w:hAnsi="宋体"/>
        </w:rPr>
        <w:t>请注意本文件的某些内容可能涉及专利。本文件的发布机构不承担识别专利的责任。</w:t>
      </w:r>
    </w:p>
    <w:p>
      <w:pPr>
        <w:pStyle w:val="56"/>
        <w:ind w:firstLine="420"/>
        <w:rPr>
          <w:rFonts w:hint="eastAsia"/>
        </w:rPr>
      </w:pPr>
      <w:r>
        <w:rPr>
          <w:rFonts w:hint="eastAsia"/>
        </w:rPr>
        <w:t>本文件由长春市畜牧业管理局提出并归口。</w:t>
      </w:r>
    </w:p>
    <w:p>
      <w:pPr>
        <w:pStyle w:val="56"/>
        <w:ind w:firstLine="420"/>
        <w:rPr>
          <w:rFonts w:hint="eastAsia"/>
        </w:rPr>
      </w:pPr>
      <w:r>
        <w:rPr>
          <w:rFonts w:hint="eastAsia"/>
        </w:rPr>
        <w:t>本文件由长春市畜牧业管理局组织实施。</w:t>
      </w:r>
    </w:p>
    <w:p>
      <w:pPr>
        <w:pStyle w:val="56"/>
        <w:ind w:firstLine="420"/>
        <w:rPr>
          <w:rFonts w:hint="eastAsia"/>
        </w:rPr>
      </w:pPr>
      <w:r>
        <w:rPr>
          <w:rFonts w:hint="eastAsia"/>
        </w:rPr>
        <w:t>本文件起草单位：长春市畜牧总站、吉林农业科技学院、长春新牧科技有限公司、长春市标准研究院（长春市WTO/TBT咨询中心）。</w:t>
      </w:r>
    </w:p>
    <w:p>
      <w:pPr>
        <w:pStyle w:val="56"/>
        <w:ind w:firstLine="420"/>
        <w:rPr>
          <w:rFonts w:hint="eastAsia"/>
        </w:rPr>
      </w:pPr>
      <w:r>
        <w:rPr>
          <w:rFonts w:hint="eastAsia"/>
        </w:rPr>
        <w:t>本文件主要起草人：王健、徐微、邓贺、郭利、李艳萍、孙嘉逸、于海欣、高艳玲、祝源泽、隋宗辉、张微微、陈国录、佟兴吉。</w:t>
      </w:r>
    </w:p>
    <w:p>
      <w:pPr>
        <w:pStyle w:val="56"/>
        <w:ind w:firstLine="420"/>
      </w:pPr>
    </w:p>
    <w:p>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pPr>
        <w:pStyle w:val="89"/>
        <w:spacing w:after="468"/>
      </w:pPr>
      <w:bookmarkStart w:id="22" w:name="BookMark3"/>
      <w:r>
        <w:rPr>
          <w:spacing w:val="320"/>
        </w:rPr>
        <w:t>引</w:t>
      </w:r>
      <w:r>
        <w:t>言</w:t>
      </w:r>
    </w:p>
    <w:p>
      <w:pPr>
        <w:pStyle w:val="56"/>
        <w:ind w:firstLine="420"/>
        <w:rPr>
          <w:rFonts w:hint="eastAsia"/>
        </w:rPr>
      </w:pPr>
      <w:r>
        <w:rPr>
          <w:rFonts w:hint="eastAsia"/>
        </w:rPr>
        <w:t>现代畜牧业的基本要求是集约化、标准化生产，实现可持续、高效益、高质量发展。进入新发展阶段，肉牛产业面临着转型升级和结构调整的挑战，同时也带来了新的机遇。牛舍是肉牛产业发展的重要基础设施，良好的牛舍为肉牛提供优良的生活环境条件和完善的动物福利，保障精液品质和品种稳定性，提高种公牛生产性能。</w:t>
      </w:r>
    </w:p>
    <w:p>
      <w:pPr>
        <w:pStyle w:val="56"/>
        <w:ind w:firstLine="420"/>
        <w:rPr>
          <w:rFonts w:hint="eastAsia"/>
        </w:rPr>
      </w:pPr>
      <w:r>
        <w:rPr>
          <w:rFonts w:hint="eastAsia"/>
        </w:rPr>
        <w:t>DB2201/T XXX 是为了规范肉牛牛舍建设，提高牛舍建设质量而编制的文件。依据肉牛不同功能和发育阶段，标准被划分为不同牛舍类别。针对不同类型牛舍建设要求，将 DB2201/T XXX 拟划分为 5  个部分。本文本为第 2 部分：种公牛。</w:t>
      </w:r>
    </w:p>
    <w:p>
      <w:pPr>
        <w:pStyle w:val="56"/>
        <w:ind w:firstLine="420"/>
        <w:rPr>
          <w:rFonts w:hint="eastAsia"/>
        </w:rPr>
      </w:pPr>
      <w:r>
        <w:rPr>
          <w:rFonts w:hint="eastAsia"/>
        </w:rPr>
        <w:t>——第 1 部分：总则。目的在于确立适用于不同类别肉牛牛舍建设的总体原则和要求。</w:t>
      </w:r>
    </w:p>
    <w:p>
      <w:pPr>
        <w:pStyle w:val="56"/>
        <w:ind w:firstLine="420"/>
        <w:rPr>
          <w:rFonts w:hint="eastAsia"/>
        </w:rPr>
      </w:pPr>
      <w:r>
        <w:rPr>
          <w:rFonts w:hint="eastAsia"/>
        </w:rPr>
        <w:t>——第 2 部分：种公牛。目的在于确立适用于种公牛牛舍建设的原则和要求。</w:t>
      </w:r>
    </w:p>
    <w:p>
      <w:pPr>
        <w:pStyle w:val="56"/>
        <w:ind w:firstLine="420"/>
        <w:rPr>
          <w:rFonts w:hint="eastAsia"/>
        </w:rPr>
      </w:pPr>
      <w:r>
        <w:rPr>
          <w:rFonts w:hint="eastAsia"/>
        </w:rPr>
        <w:t>——第 3 部分：种母牛。目的在于确立适用于种母牛牛舍建设的原则和要求。</w:t>
      </w:r>
    </w:p>
    <w:p>
      <w:pPr>
        <w:pStyle w:val="56"/>
        <w:ind w:firstLine="420"/>
        <w:rPr>
          <w:rFonts w:hint="eastAsia"/>
        </w:rPr>
      </w:pPr>
      <w:r>
        <w:rPr>
          <w:rFonts w:hint="eastAsia"/>
        </w:rPr>
        <w:t>——第 4 部分：基础母牛。目的在于确立适用于基础母牛牛舍建设的原则和要求。</w:t>
      </w:r>
    </w:p>
    <w:p>
      <w:pPr>
        <w:pStyle w:val="56"/>
        <w:ind w:firstLine="420"/>
      </w:pPr>
      <w:r>
        <w:rPr>
          <w:rFonts w:hint="eastAsia"/>
        </w:rPr>
        <w:t>——第 5 部分：育肥牛。目的在于确立适用于育肥牛牛舍建设的原则和要求。</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ascii="黑体" w:hAnsi="黑体" w:eastAsia="黑体"/>
          <w:sz w:val="32"/>
          <w:szCs w:val="32"/>
        </w:rPr>
      </w:pPr>
      <w:bookmarkStart w:id="23" w:name="BookMark4"/>
    </w:p>
    <w:p>
      <w:pPr>
        <w:spacing w:line="20" w:lineRule="exact"/>
        <w:jc w:val="center"/>
        <w:rPr>
          <w:rFonts w:ascii="黑体" w:hAnsi="黑体" w:eastAsia="黑体"/>
          <w:sz w:val="32"/>
          <w:szCs w:val="32"/>
        </w:rPr>
      </w:pPr>
    </w:p>
    <w:sdt>
      <w:sdtPr>
        <w:tag w:val="NEW_STAND_NAME"/>
        <w:id w:val="595910757"/>
        <w:lock w:val="sdtLocked"/>
        <w:placeholder>
          <w:docPart w:val="A0B4EF2400E24ED1BC9485273F092A74"/>
        </w:placeholder>
      </w:sdtPr>
      <w:sdtContent>
        <w:p>
          <w:pPr>
            <w:pStyle w:val="177"/>
            <w:spacing w:before="3" w:beforeLines="1" w:after="686" w:afterLines="220"/>
          </w:pPr>
          <w:bookmarkStart w:id="24" w:name="NEW_STAND_NAME"/>
          <w:r>
            <w:rPr>
              <w:rFonts w:hint="eastAsia"/>
            </w:rPr>
            <w:t>肉牛牛舍建设规范</w:t>
          </w:r>
          <w:r>
            <w:t xml:space="preserve"> 第2部分：种公牛</w:t>
          </w:r>
        </w:p>
      </w:sdtContent>
    </w:sdt>
    <w:bookmarkEnd w:id="24"/>
    <w:p>
      <w:pPr>
        <w:pStyle w:val="104"/>
        <w:spacing w:before="312" w:after="312"/>
      </w:pPr>
      <w:bookmarkStart w:id="25" w:name="_Toc24884211"/>
      <w:bookmarkStart w:id="26" w:name="_Toc17233325"/>
      <w:bookmarkStart w:id="27" w:name="_Toc17233333"/>
      <w:bookmarkStart w:id="28" w:name="_Toc26986771"/>
      <w:bookmarkStart w:id="29" w:name="_Toc24884218"/>
      <w:bookmarkStart w:id="30" w:name="_Toc26986530"/>
      <w:bookmarkStart w:id="31" w:name="_Toc97191423"/>
      <w:bookmarkStart w:id="32" w:name="_Toc26718930"/>
      <w:bookmarkStart w:id="33" w:name="_Toc26648465"/>
      <w:r>
        <w:rPr>
          <w:rFonts w:hint="eastAsia"/>
        </w:rPr>
        <w:t>范围</w:t>
      </w:r>
      <w:bookmarkEnd w:id="25"/>
      <w:bookmarkEnd w:id="26"/>
      <w:bookmarkEnd w:id="27"/>
      <w:bookmarkEnd w:id="28"/>
      <w:bookmarkEnd w:id="29"/>
      <w:bookmarkEnd w:id="30"/>
      <w:bookmarkEnd w:id="31"/>
      <w:bookmarkEnd w:id="32"/>
      <w:bookmarkEnd w:id="33"/>
      <w:bookmarkStart w:id="34" w:name="_Toc24884212"/>
      <w:bookmarkStart w:id="35" w:name="_Toc17233326"/>
      <w:bookmarkStart w:id="36" w:name="_Toc17233334"/>
      <w:bookmarkStart w:id="37" w:name="_Toc26648466"/>
      <w:bookmarkStart w:id="38" w:name="_Toc24884219"/>
    </w:p>
    <w:p>
      <w:pPr>
        <w:pStyle w:val="56"/>
        <w:ind w:firstLine="420"/>
        <w:rPr>
          <w:rFonts w:hint="eastAsia"/>
        </w:rPr>
      </w:pPr>
      <w:r>
        <w:rPr>
          <w:rFonts w:hint="eastAsia"/>
        </w:rPr>
        <w:t>本文件规定了种公牛牛舍建设的选址与布局、建筑形式与勘察设计、建设、内部布局、内部设施、配套设施、环境控制等要求。</w:t>
      </w:r>
    </w:p>
    <w:p>
      <w:pPr>
        <w:pStyle w:val="56"/>
        <w:ind w:firstLine="420"/>
        <w:rPr>
          <w:rFonts w:hint="eastAsia"/>
        </w:rPr>
      </w:pPr>
      <w:r>
        <w:rPr>
          <w:rFonts w:hint="eastAsia"/>
        </w:rPr>
        <w:t>本文件适用于种公牛牛舍建设。</w:t>
      </w:r>
    </w:p>
    <w:p>
      <w:pPr>
        <w:pStyle w:val="104"/>
        <w:spacing w:before="312" w:after="312"/>
      </w:pPr>
      <w:bookmarkStart w:id="39" w:name="_Toc26986531"/>
      <w:bookmarkStart w:id="40" w:name="_Toc267189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7DD276EA2B0148B8B59349F60004391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rPr>
        <w:t>GB 5749  生活饮用水卫生标准</w:t>
      </w:r>
    </w:p>
    <w:p>
      <w:pPr>
        <w:pStyle w:val="56"/>
        <w:ind w:firstLine="420"/>
        <w:rPr>
          <w:rFonts w:hint="eastAsia"/>
        </w:rPr>
      </w:pPr>
      <w:r>
        <w:rPr>
          <w:rFonts w:hint="eastAsia"/>
        </w:rPr>
        <w:t>GB 50052  供配电系统设计规范</w:t>
      </w:r>
    </w:p>
    <w:p>
      <w:pPr>
        <w:pStyle w:val="56"/>
        <w:ind w:firstLine="420"/>
        <w:rPr>
          <w:rFonts w:hint="eastAsia"/>
        </w:rPr>
      </w:pPr>
      <w:r>
        <w:rPr>
          <w:rFonts w:hint="eastAsia"/>
        </w:rPr>
        <w:t>GB 50208  地下防水工程质量验收规范</w:t>
      </w:r>
    </w:p>
    <w:p>
      <w:pPr>
        <w:pStyle w:val="56"/>
        <w:ind w:firstLine="420"/>
        <w:rPr>
          <w:rFonts w:hint="eastAsia"/>
        </w:rPr>
      </w:pPr>
      <w:r>
        <w:rPr>
          <w:rFonts w:hint="eastAsia"/>
        </w:rPr>
        <w:t>NY 388  畜禽场环境质量标准</w:t>
      </w:r>
    </w:p>
    <w:p>
      <w:pPr>
        <w:pStyle w:val="56"/>
        <w:ind w:firstLine="420"/>
        <w:rPr>
          <w:rFonts w:hint="eastAsia"/>
        </w:rPr>
      </w:pPr>
      <w:r>
        <w:rPr>
          <w:rFonts w:hint="eastAsia"/>
        </w:rPr>
        <w:t>GB 50011  建筑抗震设计规范</w:t>
      </w:r>
    </w:p>
    <w:p>
      <w:pPr>
        <w:pStyle w:val="56"/>
        <w:ind w:firstLine="420"/>
        <w:rPr>
          <w:rFonts w:hint="eastAsia"/>
        </w:rPr>
      </w:pPr>
      <w:r>
        <w:rPr>
          <w:rFonts w:hint="eastAsia"/>
        </w:rPr>
        <w:t>NY/T 682  畜禽场场区设计技术规范</w:t>
      </w:r>
    </w:p>
    <w:p>
      <w:pPr>
        <w:pStyle w:val="56"/>
        <w:ind w:firstLine="420"/>
        <w:rPr>
          <w:rFonts w:hint="eastAsia"/>
        </w:rPr>
      </w:pPr>
      <w:r>
        <w:rPr>
          <w:rFonts w:hint="eastAsia"/>
        </w:rPr>
        <w:t>GB 50003  砌体结构设计规范</w:t>
      </w:r>
    </w:p>
    <w:p>
      <w:pPr>
        <w:pStyle w:val="56"/>
        <w:ind w:firstLine="420"/>
        <w:rPr>
          <w:rFonts w:hint="eastAsia"/>
        </w:rPr>
      </w:pPr>
      <w:r>
        <w:rPr>
          <w:rFonts w:hint="eastAsia"/>
        </w:rPr>
        <w:t>GB 50007  建筑地基基础设计规范</w:t>
      </w:r>
    </w:p>
    <w:p>
      <w:pPr>
        <w:pStyle w:val="56"/>
        <w:ind w:firstLine="420"/>
        <w:rPr>
          <w:rFonts w:hint="eastAsia"/>
        </w:rPr>
      </w:pPr>
      <w:r>
        <w:rPr>
          <w:rFonts w:hint="eastAsia"/>
        </w:rPr>
        <w:t>GB 50010  混凝土结构设计规范</w:t>
      </w:r>
    </w:p>
    <w:p>
      <w:pPr>
        <w:pStyle w:val="56"/>
        <w:ind w:firstLine="420"/>
        <w:rPr>
          <w:rFonts w:hint="eastAsia"/>
        </w:rPr>
      </w:pPr>
      <w:r>
        <w:rPr>
          <w:rFonts w:hint="eastAsia"/>
        </w:rPr>
        <w:t>GB 50016  建筑设计防火规范</w:t>
      </w:r>
    </w:p>
    <w:p>
      <w:pPr>
        <w:pStyle w:val="56"/>
        <w:ind w:firstLine="420"/>
      </w:pPr>
      <w:r>
        <w:rPr>
          <w:rFonts w:hint="eastAsia"/>
        </w:rPr>
        <w:t>GB 50352  民用建筑设计通则</w:t>
      </w:r>
    </w:p>
    <w:p>
      <w:pPr>
        <w:pStyle w:val="104"/>
        <w:spacing w:before="312" w:after="312"/>
      </w:pPr>
      <w:bookmarkStart w:id="43" w:name="_Toc97191425"/>
      <w:r>
        <w:rPr>
          <w:rFonts w:hint="eastAsia"/>
          <w:szCs w:val="21"/>
        </w:rPr>
        <w:t>术语和定义</w:t>
      </w:r>
      <w:bookmarkEnd w:id="43"/>
    </w:p>
    <w:sdt>
      <w:sdtPr>
        <w:id w:val="-1909835108"/>
        <w:placeholder>
          <w:docPart w:val="EFCE5CEA31434252B5FDB6F91EBCAAD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4" w:name="_Toc26986532"/>
          <w:bookmarkEnd w:id="44"/>
          <w:r>
            <w:t>DB2201/T ×××界定的术语和定义适用于本文件。</w:t>
          </w:r>
        </w:p>
      </w:sdtContent>
    </w:sdt>
    <w:p>
      <w:pPr>
        <w:pStyle w:val="104"/>
        <w:spacing w:before="312" w:after="312"/>
      </w:pPr>
      <w:r>
        <w:rPr>
          <w:rFonts w:hint="eastAsia"/>
        </w:rPr>
        <w:t>选址与布局</w:t>
      </w:r>
    </w:p>
    <w:p>
      <w:pPr>
        <w:pStyle w:val="105"/>
        <w:spacing w:before="156" w:after="156"/>
        <w:rPr>
          <w:rFonts w:ascii="宋体" w:hAnsi="宋体" w:eastAsia="宋体"/>
        </w:rPr>
      </w:pPr>
      <w:r>
        <w:rPr>
          <w:rFonts w:hint="eastAsia" w:ascii="宋体" w:hAnsi="宋体" w:eastAsia="宋体"/>
        </w:rPr>
        <w:t>场区符合国土空间规划，不应位于《中华人民共和国畜牧法》规定禁止区域。</w:t>
      </w:r>
    </w:p>
    <w:p>
      <w:pPr>
        <w:pStyle w:val="105"/>
        <w:spacing w:before="156" w:after="156"/>
        <w:rPr>
          <w:rFonts w:ascii="宋体" w:hAnsi="宋体" w:eastAsia="宋体"/>
        </w:rPr>
      </w:pPr>
      <w:r>
        <w:rPr>
          <w:rFonts w:hint="eastAsia" w:ascii="宋体" w:hAnsi="宋体" w:eastAsia="宋体"/>
        </w:rPr>
        <w:t>种公牛场选址布局应符合DB2201/T×××《肉牛牛舍建设规范 第1部分：总则》的规定。</w:t>
      </w:r>
    </w:p>
    <w:p>
      <w:pPr>
        <w:pStyle w:val="105"/>
        <w:spacing w:before="156" w:after="156"/>
        <w:rPr>
          <w:rFonts w:ascii="宋体" w:hAnsi="宋体" w:eastAsia="宋体"/>
        </w:rPr>
      </w:pPr>
      <w:r>
        <w:rPr>
          <w:rFonts w:hint="eastAsia" w:ascii="宋体" w:hAnsi="宋体" w:eastAsia="宋体"/>
        </w:rPr>
        <w:t>周围具备粪污消纳条件，建设前需通过环境影响评价，应符合NY 391要求。</w:t>
      </w:r>
    </w:p>
    <w:p>
      <w:pPr>
        <w:pStyle w:val="105"/>
        <w:spacing w:before="156" w:after="156"/>
        <w:rPr>
          <w:rFonts w:ascii="宋体" w:hAnsi="宋体" w:eastAsia="宋体"/>
        </w:rPr>
      </w:pPr>
      <w:r>
        <w:rPr>
          <w:rFonts w:hint="eastAsia" w:ascii="宋体" w:hAnsi="宋体" w:eastAsia="宋体"/>
        </w:rPr>
        <w:t>场区设计应符合NY/T 682要求。</w:t>
      </w:r>
    </w:p>
    <w:p>
      <w:pPr>
        <w:pStyle w:val="105"/>
        <w:spacing w:before="156" w:after="156"/>
        <w:rPr>
          <w:rFonts w:ascii="宋体" w:hAnsi="宋体" w:eastAsia="宋体"/>
        </w:rPr>
      </w:pPr>
      <w:r>
        <w:rPr>
          <w:rFonts w:hint="eastAsia" w:ascii="宋体" w:hAnsi="宋体" w:eastAsia="宋体"/>
        </w:rPr>
        <w:t>牛舍应具有合理朝向，满足采光、通风要求，长轴宜沿场区等高线布置。</w:t>
      </w:r>
    </w:p>
    <w:p>
      <w:pPr>
        <w:pStyle w:val="105"/>
        <w:spacing w:before="156" w:after="156"/>
        <w:rPr>
          <w:rFonts w:ascii="宋体" w:hAnsi="宋体" w:eastAsia="宋体"/>
        </w:rPr>
      </w:pPr>
      <w:r>
        <w:rPr>
          <w:rFonts w:hint="eastAsia" w:ascii="宋体" w:hAnsi="宋体" w:eastAsia="宋体"/>
        </w:rPr>
        <w:t>牛舍设计符合GB 50352、GB 50016规定，并根据设计使用年限选择建筑材料。</w:t>
      </w:r>
    </w:p>
    <w:p>
      <w:pPr>
        <w:pStyle w:val="104"/>
        <w:spacing w:before="312" w:after="312"/>
      </w:pPr>
      <w:r>
        <w:rPr>
          <w:rFonts w:hint="eastAsia"/>
        </w:rPr>
        <w:t>用地面积和牛群数量</w:t>
      </w:r>
    </w:p>
    <w:p>
      <w:pPr>
        <w:pStyle w:val="105"/>
        <w:spacing w:before="156" w:after="156"/>
      </w:pPr>
      <w:r>
        <w:rPr>
          <w:rFonts w:hint="eastAsia"/>
        </w:rPr>
        <w:t>牛群数量</w:t>
      </w:r>
    </w:p>
    <w:p>
      <w:pPr>
        <w:pStyle w:val="56"/>
        <w:ind w:firstLine="420"/>
        <w:rPr>
          <w:rFonts w:hint="eastAsia"/>
        </w:rPr>
      </w:pPr>
      <w:r>
        <w:rPr>
          <w:rFonts w:hint="eastAsia"/>
        </w:rPr>
        <w:t>种公牛数量应根据生产方向、生产任务、使用年限、品种成熟期等决定。</w:t>
      </w:r>
    </w:p>
    <w:p>
      <w:pPr>
        <w:pStyle w:val="105"/>
        <w:spacing w:before="156" w:after="156"/>
      </w:pPr>
      <w:r>
        <w:rPr>
          <w:rFonts w:hint="eastAsia"/>
        </w:rPr>
        <w:t>用地面积</w:t>
      </w:r>
    </w:p>
    <w:p>
      <w:pPr>
        <w:pStyle w:val="56"/>
        <w:ind w:firstLine="420"/>
      </w:pPr>
      <w:r>
        <w:rPr>
          <w:rFonts w:hint="eastAsia"/>
        </w:rPr>
        <w:t>用地面积应根据种公牛数量和用地指标确定。</w:t>
      </w:r>
    </w:p>
    <w:p>
      <w:pPr>
        <w:pStyle w:val="104"/>
        <w:spacing w:before="312" w:after="312"/>
      </w:pPr>
      <w:r>
        <w:rPr>
          <w:rFonts w:hint="eastAsia"/>
        </w:rPr>
        <w:t>平面布局</w:t>
      </w:r>
    </w:p>
    <w:p>
      <w:pPr>
        <w:pStyle w:val="105"/>
        <w:spacing w:before="156" w:after="156"/>
        <w:rPr>
          <w:rFonts w:ascii="宋体" w:hAnsi="宋体" w:eastAsia="宋体"/>
        </w:rPr>
      </w:pPr>
      <w:r>
        <w:rPr>
          <w:rFonts w:hint="eastAsia" w:ascii="宋体" w:hAnsi="宋体" w:eastAsia="宋体"/>
        </w:rPr>
        <w:t>屋顶 宜采用单坡式或双坡式。</w:t>
      </w:r>
    </w:p>
    <w:p>
      <w:pPr>
        <w:pStyle w:val="105"/>
        <w:spacing w:before="156" w:after="156"/>
        <w:rPr>
          <w:rFonts w:ascii="宋体" w:hAnsi="宋体" w:eastAsia="宋体"/>
        </w:rPr>
      </w:pPr>
      <w:r>
        <w:rPr>
          <w:rFonts w:hint="eastAsia" w:ascii="宋体" w:hAnsi="宋体" w:eastAsia="宋体"/>
        </w:rPr>
        <w:t>墙体结构  宜采用半开放式。</w:t>
      </w:r>
    </w:p>
    <w:p>
      <w:pPr>
        <w:pStyle w:val="105"/>
        <w:spacing w:before="156" w:after="156"/>
        <w:rPr>
          <w:rFonts w:ascii="宋体" w:hAnsi="宋体" w:eastAsia="宋体"/>
        </w:rPr>
      </w:pPr>
      <w:r>
        <w:rPr>
          <w:rFonts w:hint="eastAsia" w:ascii="宋体" w:hAnsi="宋体" w:eastAsia="宋体"/>
        </w:rPr>
        <w:t>牛栏排列  宜采用单栏式。</w:t>
      </w:r>
    </w:p>
    <w:p>
      <w:pPr>
        <w:pStyle w:val="104"/>
        <w:spacing w:before="312" w:after="312"/>
      </w:pPr>
      <w:r>
        <w:rPr>
          <w:rFonts w:hint="eastAsia"/>
        </w:rPr>
        <w:t>建设</w:t>
      </w:r>
    </w:p>
    <w:p>
      <w:pPr>
        <w:pStyle w:val="105"/>
        <w:spacing w:before="156" w:after="156"/>
      </w:pPr>
      <w:r>
        <w:rPr>
          <w:rFonts w:hint="eastAsia"/>
        </w:rPr>
        <w:t>牛舍</w:t>
      </w:r>
    </w:p>
    <w:p>
      <w:pPr>
        <w:pStyle w:val="65"/>
        <w:spacing w:before="156" w:after="156"/>
        <w:rPr>
          <w:rFonts w:ascii="宋体" w:hAnsi="宋体" w:eastAsia="宋体"/>
        </w:rPr>
      </w:pPr>
      <w:r>
        <w:rPr>
          <w:rFonts w:hint="eastAsia" w:ascii="宋体" w:hAnsi="宋体" w:eastAsia="宋体"/>
        </w:rPr>
        <w:t>布局 根据实际需求选择半开放、有窗或无窗式牛舍，内部选择单列、双列或多列式。</w:t>
      </w:r>
    </w:p>
    <w:p>
      <w:pPr>
        <w:pStyle w:val="65"/>
        <w:spacing w:before="156" w:after="156"/>
        <w:rPr>
          <w:rFonts w:ascii="宋体" w:hAnsi="宋体" w:eastAsia="宋体"/>
        </w:rPr>
      </w:pPr>
      <w:r>
        <w:rPr>
          <w:rFonts w:hint="eastAsia" w:ascii="宋体" w:hAnsi="宋体" w:eastAsia="宋体"/>
        </w:rPr>
        <w:t>种公牛舍 种公牛牛舍采食位和卧栏比例为1:1；每头种公牛牛舍面积8m2-10 m2，长度不低于4m。运动场面积20m2-25 m2，长度＞100m。排污沟向沉淀池方向有1%-1.5%坡度。</w:t>
      </w:r>
    </w:p>
    <w:p>
      <w:pPr>
        <w:pStyle w:val="65"/>
        <w:spacing w:before="156" w:after="156"/>
        <w:rPr>
          <w:rFonts w:ascii="宋体" w:hAnsi="宋体" w:eastAsia="宋体"/>
        </w:rPr>
      </w:pPr>
      <w:r>
        <w:rPr>
          <w:rFonts w:ascii="宋体" w:hAnsi="宋体" w:eastAsia="宋体"/>
        </w:rPr>
        <w:t>隔离牛舍</w:t>
      </w:r>
      <w:r>
        <w:rPr>
          <w:rFonts w:hint="eastAsia" w:ascii="宋体" w:hAnsi="宋体" w:eastAsia="宋体"/>
        </w:rPr>
        <w:t xml:space="preserve"> </w:t>
      </w:r>
      <w:r>
        <w:rPr>
          <w:rFonts w:ascii="宋体" w:hAnsi="宋体" w:eastAsia="宋体"/>
        </w:rPr>
        <w:t>设计与种公牛牛相同，但出入口设消毒池，舍内不设卧栏。</w:t>
      </w:r>
    </w:p>
    <w:p>
      <w:pPr>
        <w:pStyle w:val="65"/>
        <w:spacing w:before="156" w:after="156"/>
        <w:rPr>
          <w:rFonts w:ascii="宋体" w:hAnsi="宋体" w:eastAsia="宋体"/>
        </w:rPr>
      </w:pPr>
      <w:r>
        <w:rPr>
          <w:rFonts w:hint="eastAsia" w:ascii="宋体" w:hAnsi="宋体" w:eastAsia="宋体"/>
        </w:rPr>
        <w:t>距离 单列式牛舍跨度不少于6.0 m，檐口高度不低于3.0 m；双列式牛舍跨度不少于12.0 m，檐口高度不低于3.6 m。檐口高度随跨度增加而增加。牛舍间距为檐高3倍-5倍。</w:t>
      </w:r>
    </w:p>
    <w:p>
      <w:pPr>
        <w:pStyle w:val="65"/>
        <w:spacing w:before="156" w:after="156"/>
        <w:rPr>
          <w:rFonts w:ascii="宋体" w:hAnsi="宋体" w:eastAsia="宋体"/>
        </w:rPr>
      </w:pPr>
      <w:r>
        <w:rPr>
          <w:rFonts w:hint="eastAsia" w:ascii="宋体" w:hAnsi="宋体" w:eastAsia="宋体"/>
        </w:rPr>
        <w:t>地基 牛舍地基符合GB 50007规定。</w:t>
      </w:r>
    </w:p>
    <w:p>
      <w:pPr>
        <w:pStyle w:val="65"/>
        <w:spacing w:before="156" w:after="156"/>
        <w:rPr>
          <w:rFonts w:ascii="宋体" w:hAnsi="宋体" w:eastAsia="宋体"/>
        </w:rPr>
      </w:pPr>
      <w:r>
        <w:rPr>
          <w:rFonts w:hint="eastAsia" w:ascii="宋体" w:hAnsi="宋体" w:eastAsia="宋体"/>
        </w:rPr>
        <w:t>墙体 符合GB 50003或者GB 50010规定，建筑防火等级按民用建筑防火规范等级三级设计，抗震设计应符合GB 50011规定。</w:t>
      </w:r>
    </w:p>
    <w:p>
      <w:pPr>
        <w:pStyle w:val="65"/>
        <w:spacing w:before="156" w:after="156"/>
        <w:rPr>
          <w:rFonts w:ascii="宋体" w:hAnsi="宋体" w:eastAsia="宋体"/>
        </w:rPr>
      </w:pPr>
      <w:r>
        <w:rPr>
          <w:rFonts w:hint="eastAsia" w:ascii="宋体" w:hAnsi="宋体" w:eastAsia="宋体"/>
        </w:rPr>
        <w:t>门 舍门应向外开放，不设台阶和门槛。饲喂和清粪通道门高度和宽度根据饲喂和清粪方式设置。</w:t>
      </w:r>
    </w:p>
    <w:p>
      <w:pPr>
        <w:pStyle w:val="65"/>
        <w:spacing w:before="156" w:after="156"/>
        <w:rPr>
          <w:rFonts w:ascii="宋体" w:hAnsi="宋体" w:eastAsia="宋体"/>
        </w:rPr>
      </w:pPr>
      <w:r>
        <w:rPr>
          <w:rFonts w:hint="eastAsia" w:ascii="宋体" w:hAnsi="宋体" w:eastAsia="宋体"/>
        </w:rPr>
        <w:t>窗 有窗式牛舍设计应符合采光与通风要求，窗台高度为1.2m；无窗式牛舍冬季应设卷帘。</w:t>
      </w:r>
    </w:p>
    <w:p>
      <w:pPr>
        <w:pStyle w:val="65"/>
        <w:spacing w:before="156" w:after="156"/>
        <w:rPr>
          <w:rFonts w:ascii="宋体" w:hAnsi="宋体" w:eastAsia="宋体"/>
        </w:rPr>
      </w:pPr>
      <w:r>
        <w:rPr>
          <w:rFonts w:hint="eastAsia" w:ascii="宋体" w:hAnsi="宋体" w:eastAsia="宋体"/>
        </w:rPr>
        <w:t>屋顶 采用单坡或双坡式，屋顶材质应符合DB2201/T×××《肉牛牛舍建设规范 第1部分：总则》的规定。</w:t>
      </w:r>
    </w:p>
    <w:p>
      <w:pPr>
        <w:pStyle w:val="65"/>
        <w:spacing w:before="156" w:after="156"/>
        <w:rPr>
          <w:rFonts w:hint="eastAsia" w:ascii="宋体" w:hAnsi="宋体" w:eastAsia="宋体"/>
        </w:rPr>
      </w:pPr>
      <w:r>
        <w:rPr>
          <w:rFonts w:hint="eastAsia" w:ascii="宋体" w:hAnsi="宋体" w:eastAsia="宋体"/>
        </w:rPr>
        <w:t>地面 牛床地面可采用混凝土地面或砖铺地面，混凝土地面防滑处理，采用砖铺地面时，需立铺，坡度控制在 2 %～ 3 %，向粪污沟倾斜；饲喂通道宜采用混凝土结构，表面光滑宜清理。清粪槽道采用混凝土地面，清粪槽道地面须刻线条防滑。运动场地面为素土夯实地面，中央高，向牛舍两侧山墙方向呈一定的缓坡状较理想。</w:t>
      </w:r>
    </w:p>
    <w:p>
      <w:pPr>
        <w:pStyle w:val="105"/>
        <w:spacing w:before="156" w:after="156"/>
        <w:rPr>
          <w:rFonts w:hint="eastAsia"/>
        </w:rPr>
      </w:pPr>
      <w:r>
        <w:rPr>
          <w:rFonts w:hint="eastAsia"/>
        </w:rPr>
        <w:t>设施与设备</w:t>
      </w:r>
    </w:p>
    <w:p>
      <w:pPr>
        <w:pStyle w:val="65"/>
        <w:spacing w:before="156" w:after="156"/>
        <w:rPr>
          <w:rFonts w:hint="eastAsia"/>
        </w:rPr>
      </w:pPr>
      <w:r>
        <w:rPr>
          <w:rFonts w:hint="eastAsia"/>
        </w:rPr>
        <w:t>牛床</w:t>
      </w:r>
    </w:p>
    <w:p>
      <w:pPr>
        <w:pStyle w:val="56"/>
        <w:ind w:firstLine="420"/>
      </w:pPr>
      <w:r>
        <w:rPr>
          <w:rFonts w:hint="eastAsia"/>
        </w:rPr>
        <w:t>牛床应结实、防滑、易于清理，并向排粪沟作1.5%坡度倾斜。根据需求选用垫料种类</w:t>
      </w:r>
    </w:p>
    <w:p>
      <w:pPr>
        <w:pStyle w:val="65"/>
        <w:spacing w:before="156" w:after="156"/>
      </w:pPr>
      <w:r>
        <w:rPr>
          <w:rFonts w:hint="eastAsia"/>
        </w:rPr>
        <w:t>围栏</w:t>
      </w:r>
    </w:p>
    <w:p>
      <w:pPr>
        <w:pStyle w:val="56"/>
        <w:ind w:firstLine="420"/>
      </w:pPr>
      <w:r>
        <w:rPr>
          <w:rFonts w:hint="eastAsia"/>
        </w:rPr>
        <w:t>牛舍和运动场设围栏，栏杆高1.2m-1.6 m，栏柱间隔1.5m-2.0 m。围栏宜采用钢管或镀锌管，一般直径4-5cm。</w:t>
      </w:r>
    </w:p>
    <w:p>
      <w:pPr>
        <w:pStyle w:val="65"/>
        <w:spacing w:before="156" w:after="156"/>
      </w:pPr>
      <w:r>
        <w:rPr>
          <w:rFonts w:hint="eastAsia"/>
        </w:rPr>
        <w:t>运动场</w:t>
      </w:r>
    </w:p>
    <w:p>
      <w:pPr>
        <w:pStyle w:val="56"/>
        <w:ind w:firstLine="420"/>
      </w:pPr>
      <w:r>
        <w:rPr>
          <w:rFonts w:hint="eastAsia"/>
        </w:rPr>
        <w:t>运动场向排水沟作1%-1.5%坡度倾斜，应防渗处理。日照强烈地区或季节设遮阳棚或遮阳网。</w:t>
      </w:r>
    </w:p>
    <w:p>
      <w:pPr>
        <w:pStyle w:val="65"/>
        <w:spacing w:before="156" w:after="156"/>
      </w:pPr>
      <w:r>
        <w:t>饲槽</w:t>
      </w:r>
    </w:p>
    <w:p>
      <w:pPr>
        <w:pStyle w:val="56"/>
        <w:ind w:firstLine="420"/>
      </w:pPr>
      <w:r>
        <w:rPr>
          <w:rFonts w:hint="eastAsia"/>
        </w:rPr>
        <w:t>位于牛床前，底平面高于牛床5cm-10cm并呈圆弧状。饲槽应坚固，槽内表面光滑、不透水。</w:t>
      </w:r>
    </w:p>
    <w:p>
      <w:pPr>
        <w:pStyle w:val="65"/>
        <w:spacing w:before="156" w:after="156"/>
      </w:pPr>
      <w:r>
        <w:rPr>
          <w:rFonts w:hint="eastAsia"/>
        </w:rPr>
        <w:t>饲喂通道</w:t>
      </w:r>
    </w:p>
    <w:p>
      <w:pPr>
        <w:pStyle w:val="56"/>
        <w:ind w:firstLine="420"/>
      </w:pPr>
      <w:r>
        <w:rPr>
          <w:rFonts w:hint="eastAsia"/>
        </w:rPr>
        <w:t>人工喂料宽度为1.2m-1.5m。全混合日粮（TMR）饲喂宽度为2.8m-3.6m。双列式牛舍饲喂通道贯彻牛舍中轴线。</w:t>
      </w:r>
    </w:p>
    <w:p>
      <w:pPr>
        <w:pStyle w:val="65"/>
        <w:spacing w:before="156" w:after="156"/>
      </w:pPr>
      <w:r>
        <w:rPr>
          <w:rFonts w:hint="eastAsia"/>
        </w:rPr>
        <w:t>饮水设备</w:t>
      </w:r>
    </w:p>
    <w:p>
      <w:pPr>
        <w:pStyle w:val="56"/>
        <w:ind w:firstLine="420"/>
        <w:rPr>
          <w:rFonts w:hint="eastAsia"/>
        </w:rPr>
      </w:pPr>
      <w:r>
        <w:rPr>
          <w:rFonts w:hint="eastAsia"/>
        </w:rPr>
        <w:t>常用饮水碗或以食槽兼水槽，每头牛提供一个饮水碗，设置在隔栏固定柱上，安装高度须高出卧床70cm-75 cm。运动场常用饮水槽，一般宽40cm-60 cm，深40 cm，水槽高度不宜超过70 cm，水深15cm-20 cm。冬季应做好防寒措施，可选用恒温水槽。</w:t>
      </w:r>
    </w:p>
    <w:p>
      <w:pPr>
        <w:pStyle w:val="65"/>
        <w:spacing w:before="156" w:after="156"/>
      </w:pPr>
      <w:r>
        <w:t>清粪通道</w:t>
      </w:r>
    </w:p>
    <w:p>
      <w:pPr>
        <w:pStyle w:val="56"/>
        <w:ind w:firstLine="420"/>
        <w:rPr>
          <w:rFonts w:hint="eastAsia"/>
        </w:rPr>
      </w:pPr>
      <w:r>
        <w:rPr>
          <w:rFonts w:hint="eastAsia"/>
        </w:rPr>
        <w:t>处于粪尿沟与牛床之间，与牛床融为一体，一般宽度为2.5m-3.6 m。</w:t>
      </w:r>
    </w:p>
    <w:p>
      <w:pPr>
        <w:pStyle w:val="65"/>
        <w:spacing w:before="156" w:after="156"/>
      </w:pPr>
      <w:r>
        <w:rPr>
          <w:rFonts w:hint="eastAsia"/>
        </w:rPr>
        <w:t>粪尿沟</w:t>
      </w:r>
    </w:p>
    <w:p>
      <w:pPr>
        <w:pStyle w:val="56"/>
        <w:ind w:firstLine="420"/>
      </w:pPr>
      <w:r>
        <w:rPr>
          <w:rFonts w:hint="eastAsia"/>
        </w:rPr>
        <w:t>位于清粪通道附近，宽度为0.32m-0.34 m，起始深度为0.06 m左右，坡度为6%左右，向污水通道方向下倾。当深度超过20 cm时，应设漏缝沟盖。</w:t>
      </w:r>
    </w:p>
    <w:p>
      <w:pPr>
        <w:pStyle w:val="104"/>
        <w:spacing w:before="312" w:after="312"/>
      </w:pPr>
      <w:r>
        <w:rPr>
          <w:rFonts w:hint="eastAsia"/>
        </w:rPr>
        <w:t>环境控制</w:t>
      </w:r>
    </w:p>
    <w:p>
      <w:pPr>
        <w:pStyle w:val="105"/>
        <w:spacing w:before="156" w:after="156"/>
        <w:rPr>
          <w:rFonts w:ascii="宋体" w:hAnsi="宋体" w:eastAsia="宋体"/>
        </w:rPr>
      </w:pPr>
      <w:r>
        <w:rPr>
          <w:rFonts w:hint="eastAsia" w:ascii="宋体" w:hAnsi="宋体" w:eastAsia="宋体"/>
        </w:rPr>
        <w:t>牛舍空气环境质量应符合NY/T 388要求。</w:t>
      </w:r>
    </w:p>
    <w:p>
      <w:pPr>
        <w:pStyle w:val="105"/>
        <w:spacing w:before="156" w:after="156"/>
        <w:rPr>
          <w:rFonts w:hint="eastAsia" w:ascii="宋体" w:hAnsi="宋体" w:eastAsia="宋体"/>
        </w:rPr>
      </w:pPr>
      <w:r>
        <w:rPr>
          <w:rFonts w:hint="eastAsia" w:ascii="宋体" w:hAnsi="宋体" w:eastAsia="宋体"/>
        </w:rPr>
        <w:t>环境控制应符合DB2201/T×××《肉牛牛舍建设规范 第 1 部分：总则》的规定。</w:t>
      </w:r>
    </w:p>
    <w:p>
      <w:pPr>
        <w:pStyle w:val="104"/>
        <w:spacing w:before="312" w:after="312"/>
      </w:pPr>
      <w:r>
        <w:rPr>
          <w:rFonts w:hint="eastAsia"/>
        </w:rPr>
        <w:t>配套设施设备</w:t>
      </w:r>
    </w:p>
    <w:p>
      <w:pPr>
        <w:pStyle w:val="56"/>
        <w:ind w:firstLine="420"/>
        <w:rPr>
          <w:rFonts w:hint="eastAsia"/>
        </w:rPr>
      </w:pPr>
      <w:r>
        <w:rPr>
          <w:rFonts w:hint="eastAsia"/>
        </w:rPr>
        <w:t>配套设施应符合DB2201/T×××《肉牛牛舍建设规范 第 1 部分：总则》的规定外，还包括以下设施。</w:t>
      </w:r>
    </w:p>
    <w:p>
      <w:pPr>
        <w:pStyle w:val="105"/>
        <w:spacing w:before="156" w:after="156"/>
        <w:rPr>
          <w:rFonts w:ascii="宋体" w:hAnsi="宋体" w:eastAsia="宋体"/>
        </w:rPr>
      </w:pPr>
      <w:r>
        <w:rPr>
          <w:rFonts w:hint="eastAsia" w:ascii="宋体" w:hAnsi="宋体" w:eastAsia="宋体"/>
        </w:rPr>
        <w:t>配置采精、冻精、日常检查、转群、消毒防疫、兽医诊断、药品存放、有害物品处置、废弃物处理等所需设施设备。</w:t>
      </w:r>
    </w:p>
    <w:p>
      <w:pPr>
        <w:pStyle w:val="105"/>
        <w:spacing w:before="156" w:after="156"/>
        <w:rPr>
          <w:rFonts w:ascii="宋体" w:hAnsi="宋体" w:eastAsia="宋体"/>
        </w:rPr>
      </w:pPr>
      <w:r>
        <w:rPr>
          <w:rFonts w:hint="eastAsia" w:ascii="宋体" w:hAnsi="宋体" w:eastAsia="宋体"/>
        </w:rPr>
        <w:t>牛舍照明应满足80lx-120 lx照度。</w:t>
      </w:r>
    </w:p>
    <w:p>
      <w:pPr>
        <w:pStyle w:val="105"/>
        <w:spacing w:before="156" w:after="156"/>
        <w:rPr>
          <w:rFonts w:ascii="宋体" w:hAnsi="宋体" w:eastAsia="宋体"/>
        </w:rPr>
      </w:pPr>
      <w:r>
        <w:rPr>
          <w:rFonts w:hint="eastAsia" w:ascii="宋体" w:hAnsi="宋体" w:eastAsia="宋体"/>
        </w:rPr>
        <w:t>配置与生产相匹配的给排水、电气设施设备。</w:t>
      </w:r>
    </w:p>
    <w:p>
      <w:pPr>
        <w:pStyle w:val="105"/>
        <w:spacing w:before="156" w:after="156"/>
        <w:rPr>
          <w:rFonts w:hint="eastAsia" w:ascii="宋体" w:hAnsi="宋体" w:eastAsia="宋体"/>
        </w:rPr>
      </w:pPr>
      <w:r>
        <w:rPr>
          <w:rFonts w:hint="eastAsia" w:ascii="宋体" w:hAnsi="宋体" w:eastAsia="宋体"/>
        </w:rPr>
        <w:t>配置与生产相匹配的场区道路及绿化。</w:t>
      </w:r>
      <w:bookmarkEnd w:id="23"/>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2201/T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2201/T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CpLfo65NS/mBRpgnZqvO2HUvzXuFT8Td+44ttwn7ZTWTnAD5VeQrrK0fjVdxzIicEkWhIhuh/zWNYzKQtvqi7Q==" w:salt="QLgns8Vo8bW3XoZLIDE/4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0C554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54C"/>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07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2F65"/>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2BD3"/>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69D0"/>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1593B"/>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4CF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5844B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0B4EF2400E24ED1BC9485273F092A74"/>
        <w:style w:val=""/>
        <w:category>
          <w:name w:val="常规"/>
          <w:gallery w:val="placeholder"/>
        </w:category>
        <w:types>
          <w:type w:val="bbPlcHdr"/>
        </w:types>
        <w:behaviors>
          <w:behavior w:val="content"/>
        </w:behaviors>
        <w:description w:val=""/>
        <w:guid w:val="{9900D0C5-6D0C-43AE-B590-4B8632893743}"/>
      </w:docPartPr>
      <w:docPartBody>
        <w:p>
          <w:pPr>
            <w:pStyle w:val="5"/>
          </w:pPr>
          <w:r>
            <w:rPr>
              <w:rStyle w:val="4"/>
              <w:rFonts w:hint="eastAsia"/>
            </w:rPr>
            <w:t>单击或点击此处输入文字。</w:t>
          </w:r>
        </w:p>
      </w:docPartBody>
    </w:docPart>
    <w:docPart>
      <w:docPartPr>
        <w:name w:val="7DD276EA2B0148B8B59349F60004391C"/>
        <w:style w:val=""/>
        <w:category>
          <w:name w:val="常规"/>
          <w:gallery w:val="placeholder"/>
        </w:category>
        <w:types>
          <w:type w:val="bbPlcHdr"/>
        </w:types>
        <w:behaviors>
          <w:behavior w:val="content"/>
        </w:behaviors>
        <w:description w:val=""/>
        <w:guid w:val="{642EBF68-A0BC-4ABD-81C6-69878ECADEAC}"/>
      </w:docPartPr>
      <w:docPartBody>
        <w:p>
          <w:pPr>
            <w:pStyle w:val="6"/>
          </w:pPr>
          <w:r>
            <w:rPr>
              <w:rStyle w:val="4"/>
              <w:rFonts w:hint="eastAsia"/>
            </w:rPr>
            <w:t>选择一项。</w:t>
          </w:r>
        </w:p>
      </w:docPartBody>
    </w:docPart>
    <w:docPart>
      <w:docPartPr>
        <w:name w:val="EFCE5CEA31434252B5FDB6F91EBCAADF"/>
        <w:style w:val=""/>
        <w:category>
          <w:name w:val="常规"/>
          <w:gallery w:val="placeholder"/>
        </w:category>
        <w:types>
          <w:type w:val="bbPlcHdr"/>
        </w:types>
        <w:behaviors>
          <w:behavior w:val="content"/>
        </w:behaviors>
        <w:description w:val=""/>
        <w:guid w:val="{6175452B-D2C9-4AAE-8C39-0D2CB2B033C4}"/>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6DB8"/>
    <w:rsid w:val="00EA6D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A0B4EF2400E24ED1BC9485273F092A7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7DD276EA2B0148B8B59349F60004391C"/>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EFCE5CEA31434252B5FDB6F91EBCAADF"/>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3F74CFA-F03D-441A-8D6A-9FCF82A4396F}">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2560</Words>
  <Characters>2996</Characters>
  <Lines>331</Lines>
  <Paragraphs>297</Paragraphs>
  <TotalTime>57</TotalTime>
  <ScaleCrop>false</ScaleCrop>
  <LinksUpToDate>false</LinksUpToDate>
  <CharactersWithSpaces>3152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2024-08-05T01:04:00Z</dcterms:created>
  <dc:creator>22 11</dc:creator>
  <dc:description>&lt;config cover="true" show_menu="true" version="1.0.0" doctype="SDKXY"&gt;_x000d_
&lt;/config&gt;</dc:description>
  <cp:lastModifiedBy>slby</cp:lastModifiedBy>
  <cp:lastPrinted>2020-08-30T10:00:00Z</cp:lastPrinted>
  <dcterms:modified xsi:type="dcterms:W3CDTF">2024-08-07T07:05:00Z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B70637AA2DF3492C85E4BAE2CA92E7EC_12</vt:lpwstr>
  </property>
</Properties>
</file>