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414A9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9" w:type="dxa"/>
          </w:tcPr>
          <w:p w14:paraId="50A3FE10">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黑体" w:hAnsi="黑体" w:eastAsia="黑体"/>
                <w:sz w:val="21"/>
                <w:szCs w:val="21"/>
              </w:rPr>
              <w:t xml:space="preserve"> </w:t>
            </w:r>
          </w:p>
        </w:tc>
        <w:tc>
          <w:tcPr>
            <w:tcW w:w="8855" w:type="dxa"/>
          </w:tcPr>
          <w:p w14:paraId="51073004">
            <w:pPr>
              <w:pStyle w:val="18"/>
              <w:framePr w:wrap="notBeside" w:vAnchor="page" w:hAnchor="page" w:x="1372" w:y="568"/>
              <w:tabs>
                <w:tab w:val="clear" w:pos="4153"/>
                <w:tab w:val="clear" w:pos="8306"/>
              </w:tabs>
              <w:spacing w:line="240" w:lineRule="auto"/>
              <w:jc w:val="both"/>
              <w:rPr>
                <w:rFonts w:ascii="黑体" w:hAnsi="黑体" w:eastAsia="黑体"/>
                <w:sz w:val="21"/>
                <w:szCs w:val="21"/>
              </w:rPr>
            </w:pPr>
          </w:p>
        </w:tc>
      </w:tr>
      <w:tr w14:paraId="016D3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56F0620">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 </w:t>
            </w:r>
            <w:r>
              <w:rPr>
                <w:rFonts w:ascii="黑体" w:hAnsi="黑体" w:eastAsia="黑体"/>
                <w:sz w:val="21"/>
                <w:szCs w:val="21"/>
              </w:rPr>
              <w:t xml:space="preserve"> </w:t>
            </w:r>
          </w:p>
        </w:tc>
        <w:tc>
          <w:tcPr>
            <w:tcW w:w="8855" w:type="dxa"/>
          </w:tcPr>
          <w:p w14:paraId="4F703E43">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7FA09A29">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14:paraId="4E118861">
            <w:pPr>
              <w:pStyle w:val="49"/>
              <w:framePr w:w="0" w:hRule="auto" w:wrap="auto" w:vAnchor="margin" w:hAnchor="text" w:xAlign="left" w:yAlign="inline"/>
              <w:rPr>
                <w:rFonts w:ascii="宋体" w:hAnsi="宋体"/>
                <w:sz w:val="28"/>
                <w:szCs w:val="28"/>
              </w:rPr>
            </w:pPr>
            <w:bookmarkStart w:id="0"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1" w:name="c1"/>
            <w:r>
              <w:instrText xml:space="preserve"> FORMTEXT </w:instrText>
            </w:r>
            <w:r>
              <w:fldChar w:fldCharType="separate"/>
            </w:r>
            <w:r>
              <w:t>     </w:t>
            </w:r>
            <w:r>
              <w:fldChar w:fldCharType="end"/>
            </w:r>
            <w:bookmarkEnd w:id="1"/>
          </w:p>
        </w:tc>
      </w:tr>
    </w:tbl>
    <w:p w14:paraId="31B40C33">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2"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长春市</w:t>
      </w:r>
      <w:r>
        <w:rPr>
          <w:rFonts w:ascii="黑体" w:eastAsia="黑体"/>
          <w:b w:val="0"/>
          <w:w w:val="100"/>
          <w:sz w:val="48"/>
        </w:rPr>
        <w:fldChar w:fldCharType="end"/>
      </w:r>
      <w:bookmarkEnd w:id="2"/>
      <w:r>
        <w:rPr>
          <w:rFonts w:hint="eastAsia" w:ascii="黑体" w:hAnsi="黑体" w:eastAsia="黑体"/>
          <w:b w:val="0"/>
          <w:bCs w:val="0"/>
          <w:w w:val="100"/>
          <w:sz w:val="48"/>
          <w:szCs w:val="48"/>
        </w:rPr>
        <w:t>地方标准</w:t>
      </w:r>
    </w:p>
    <w:bookmarkEnd w:id="0"/>
    <w:p w14:paraId="3CC81DD1">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3" w:name="文字1"/>
      <w:r>
        <w:rPr>
          <w:lang w:val="fr-FR"/>
        </w:rPr>
        <w:instrText xml:space="preserve"> FORMTEXT </w:instrText>
      </w:r>
      <w:r>
        <w:fldChar w:fldCharType="separate"/>
      </w:r>
      <w:r>
        <w:rPr>
          <w:lang w:val="fr-FR"/>
        </w:rPr>
        <w:t>XX/T</w:t>
      </w:r>
      <w:r>
        <w:fldChar w:fldCharType="end"/>
      </w:r>
      <w:bookmarkEnd w:id="3"/>
      <w:r>
        <w:rPr>
          <w:lang w:val="fr-FR"/>
        </w:rPr>
        <w:t xml:space="preserve"> </w:t>
      </w:r>
      <w:r>
        <w:fldChar w:fldCharType="begin">
          <w:ffData>
            <w:name w:val="NSTD_CODE_F"/>
            <w:enabled/>
            <w:calcOnExit w:val="0"/>
            <w:textInput>
              <w:default w:val="XXXX"/>
            </w:textInput>
          </w:ffData>
        </w:fldChar>
      </w:r>
      <w:bookmarkStart w:id="4" w:name="NSTD_CODE_F"/>
      <w:r>
        <w:rPr>
          <w:lang w:val="fr-FR"/>
        </w:rPr>
        <w:instrText xml:space="preserve"> FORMTEXT </w:instrText>
      </w:r>
      <w:r>
        <w:fldChar w:fldCharType="separate"/>
      </w:r>
      <w:r>
        <w:rPr>
          <w:lang w:val="fr-FR"/>
        </w:rPr>
        <w:t>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14:paraId="16553CE1">
      <w:pPr>
        <w:pStyle w:val="196"/>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14:paraId="28E43406">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4A0F6B5">
      <w:pPr>
        <w:pStyle w:val="50"/>
        <w:framePr w:w="9639" w:h="6976" w:hRule="exact" w:hSpace="0" w:vSpace="0" w:wrap="around" w:hAnchor="page" w:y="6408"/>
        <w:jc w:val="center"/>
        <w:rPr>
          <w:rFonts w:ascii="黑体" w:hAnsi="黑体" w:eastAsia="黑体"/>
          <w:b w:val="0"/>
          <w:bCs w:val="0"/>
          <w:w w:val="100"/>
        </w:rPr>
      </w:pPr>
    </w:p>
    <w:p w14:paraId="1946A0CB">
      <w:pPr>
        <w:pStyle w:val="197"/>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t>非公路用旅游观光车辆安全管理规范</w:t>
      </w:r>
      <w:r>
        <w:fldChar w:fldCharType="end"/>
      </w:r>
      <w:bookmarkEnd w:id="7"/>
    </w:p>
    <w:p w14:paraId="1624B4E1">
      <w:pPr>
        <w:framePr w:w="9639" w:h="6974" w:hRule="exact" w:wrap="around" w:vAnchor="page" w:hAnchor="page" w:x="1419" w:y="6408" w:anchorLock="1"/>
        <w:ind w:left="-1418"/>
      </w:pPr>
    </w:p>
    <w:p w14:paraId="1E1E067E">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8"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Safety management specification for non-road tourist sightseeing vehicles</w:t>
      </w:r>
      <w:r>
        <w:rPr>
          <w:rFonts w:ascii="黑体" w:hAnsi="黑体" w:eastAsia="黑体"/>
          <w:szCs w:val="28"/>
        </w:rPr>
        <w:fldChar w:fldCharType="end"/>
      </w:r>
      <w:bookmarkEnd w:id="8"/>
    </w:p>
    <w:p w14:paraId="455EE67B">
      <w:pPr>
        <w:framePr w:w="9639" w:h="6974" w:hRule="exact" w:wrap="around" w:vAnchor="page" w:hAnchor="page" w:x="1419" w:y="6408" w:anchorLock="1"/>
        <w:spacing w:line="760" w:lineRule="exact"/>
        <w:ind w:left="-1418"/>
      </w:pPr>
    </w:p>
    <w:p w14:paraId="250DB936">
      <w:pPr>
        <w:pStyle w:val="125"/>
        <w:framePr w:w="9639" w:h="6974" w:hRule="exact" w:wrap="around" w:vAnchor="page" w:hAnchor="page" w:x="1419" w:y="6408" w:anchorLock="1"/>
        <w:textAlignment w:val="bottom"/>
        <w:rPr>
          <w:rFonts w:eastAsia="黑体"/>
          <w:szCs w:val="28"/>
        </w:rPr>
      </w:pPr>
    </w:p>
    <w:p w14:paraId="66A9592E">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Pr>
          <w:sz w:val="24"/>
          <w:szCs w:val="28"/>
        </w:rPr>
        <w:fldChar w:fldCharType="separate"/>
      </w:r>
      <w:r>
        <w:rPr>
          <w:sz w:val="24"/>
          <w:szCs w:val="28"/>
        </w:rPr>
        <w:fldChar w:fldCharType="end"/>
      </w:r>
      <w:bookmarkEnd w:id="9"/>
    </w:p>
    <w:p w14:paraId="573DAC91">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0"/>
    </w:p>
    <w:p w14:paraId="35F9F394">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fldChar w:fldCharType="separate"/>
      </w:r>
      <w:r>
        <w:rPr>
          <w:b/>
          <w:sz w:val="21"/>
          <w:szCs w:val="28"/>
        </w:rPr>
        <w:fldChar w:fldCharType="end"/>
      </w:r>
      <w:bookmarkEnd w:id="11"/>
    </w:p>
    <w:p w14:paraId="44238309">
      <w:pPr>
        <w:pStyle w:val="193"/>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3F4B1397">
      <w:pPr>
        <w:pStyle w:val="194"/>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hint="eastAsia" w:ascii="黑体"/>
        </w:rPr>
        <w:t>2024</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64D313DA">
      <w:pPr>
        <w:pStyle w:val="151"/>
        <w:framePr w:w="8558" w:h="584" w:hRule="exact" w:hSpace="181" w:vSpace="181" w:wrap="around" w:hAnchor="page" w:x="1695" w:y="15027"/>
        <w:rPr>
          <w:rFonts w:hAnsi="黑体"/>
          <w:b w:val="0"/>
          <w:bCs w:val="0"/>
        </w:rPr>
      </w:pPr>
      <w:r>
        <w:rPr>
          <w:rFonts w:hint="eastAsia" w:ascii="Times New Roman"/>
          <w:b w:val="0"/>
          <w:bCs w:val="0"/>
          <w:w w:val="100"/>
          <w:sz w:val="28"/>
          <w:lang w:eastAsia="zh-CN"/>
        </w:rPr>
        <w:t>长春市市场监督管理局</w:t>
      </w:r>
      <w:r>
        <w:rPr>
          <w:rFonts w:ascii="Times New Roman"/>
          <w:b w:val="0"/>
          <w:bCs w:val="0"/>
          <w:w w:val="100"/>
          <w:sz w:val="28"/>
        </w:rPr>
        <w:t>  </w:t>
      </w:r>
      <w:r>
        <w:rPr>
          <w:rStyle w:val="229"/>
          <w:rFonts w:hint="eastAsia" w:hAnsi="黑体"/>
          <w:b w:val="0"/>
          <w:bCs w:val="0"/>
          <w:position w:val="0"/>
        </w:rPr>
        <w:t>发</w:t>
      </w:r>
      <w:r>
        <w:rPr>
          <w:rStyle w:val="229"/>
          <w:rFonts w:hint="eastAsia" w:hAnsi="黑体"/>
          <w:b w:val="0"/>
          <w:bCs w:val="0"/>
          <w:spacing w:val="0"/>
          <w:position w:val="0"/>
        </w:rPr>
        <w:t>布</w:t>
      </w:r>
    </w:p>
    <w:p w14:paraId="13B7C3F6">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3F7B6CD7">
      <w:pPr>
        <w:pStyle w:val="89"/>
        <w:spacing w:before="900" w:after="468"/>
      </w:pPr>
      <w:bookmarkStart w:id="18" w:name="BookMark2"/>
      <w:r>
        <w:rPr>
          <w:spacing w:val="320"/>
        </w:rPr>
        <w:t>前</w:t>
      </w:r>
      <w:r>
        <w:t>言</w:t>
      </w:r>
    </w:p>
    <w:p w14:paraId="0651F1EB">
      <w:pPr>
        <w:pStyle w:val="56"/>
        <w:ind w:firstLine="420"/>
      </w:pPr>
      <w:r>
        <w:rPr>
          <w:rFonts w:hint="eastAsia"/>
        </w:rPr>
        <w:t>本文件按照GB/T 1.1—2020《标准化工作导则  第1部分：标准化文件的结构和起草规则》的规定起草。</w:t>
      </w:r>
    </w:p>
    <w:p w14:paraId="6DAE6557">
      <w:pPr>
        <w:pStyle w:val="56"/>
        <w:ind w:firstLine="420"/>
      </w:pPr>
      <w:r>
        <w:rPr>
          <w:rFonts w:hint="eastAsia"/>
        </w:rPr>
        <w:t>本文件由长春特种设备检测研究院（长春市特种设备安全监控中心）提出。</w:t>
      </w:r>
    </w:p>
    <w:p w14:paraId="13645723">
      <w:pPr>
        <w:pStyle w:val="56"/>
        <w:ind w:firstLine="420"/>
      </w:pPr>
      <w:r>
        <w:rPr>
          <w:rFonts w:hint="eastAsia"/>
        </w:rPr>
        <w:t>本文件由长春市市场监督管理局归口。</w:t>
      </w:r>
    </w:p>
    <w:p w14:paraId="1B8A56C1">
      <w:pPr>
        <w:pStyle w:val="56"/>
        <w:ind w:firstLine="420"/>
      </w:pPr>
      <w:r>
        <w:rPr>
          <w:rFonts w:hint="eastAsia"/>
        </w:rPr>
        <w:t>本文件起草单位：长春特种设备检测研究院（长春市特种设备安全监控中心）、吉林省锅炉压力容器管理协会、</w:t>
      </w:r>
      <w:r>
        <w:rPr>
          <w:rFonts w:hint="eastAsia" w:ascii="宋体" w:hAnsi="宋体" w:eastAsia="宋体" w:cs="宋体"/>
          <w:sz w:val="21"/>
          <w:szCs w:val="21"/>
        </w:rPr>
        <w:t>长春市标准研究院</w:t>
      </w:r>
      <w:r>
        <w:rPr>
          <w:rFonts w:hint="eastAsia" w:ascii="宋体" w:hAnsi="宋体" w:eastAsia="宋体" w:cs="宋体"/>
          <w:sz w:val="21"/>
          <w:szCs w:val="21"/>
          <w:lang w:eastAsia="zh-CN"/>
        </w:rPr>
        <w:t>（长春市</w:t>
      </w:r>
      <w:r>
        <w:rPr>
          <w:rFonts w:hint="eastAsia" w:ascii="宋体" w:hAnsi="宋体" w:eastAsia="宋体" w:cs="宋体"/>
          <w:sz w:val="21"/>
          <w:szCs w:val="21"/>
          <w:lang w:val="en-US" w:eastAsia="zh-CN"/>
        </w:rPr>
        <w:t>WTO/TBT咨询中心</w:t>
      </w:r>
      <w:r>
        <w:rPr>
          <w:rFonts w:hint="eastAsia" w:ascii="宋体" w:hAnsi="宋体" w:eastAsia="宋体" w:cs="宋体"/>
          <w:sz w:val="21"/>
          <w:szCs w:val="21"/>
          <w:lang w:eastAsia="zh-CN"/>
        </w:rPr>
        <w:t>）</w:t>
      </w:r>
      <w:r>
        <w:rPr>
          <w:rFonts w:hint="eastAsia" w:hAnsi="宋体" w:cs="宋体"/>
          <w:sz w:val="21"/>
          <w:szCs w:val="21"/>
          <w:lang w:eastAsia="zh-CN"/>
        </w:rPr>
        <w:t>、</w:t>
      </w:r>
      <w:r>
        <w:rPr>
          <w:rFonts w:hint="eastAsia"/>
        </w:rPr>
        <w:t>长春市市场监督管理宣传中心。</w:t>
      </w:r>
    </w:p>
    <w:p w14:paraId="15666E1C">
      <w:pPr>
        <w:pStyle w:val="56"/>
        <w:ind w:firstLine="420"/>
      </w:pPr>
      <w:r>
        <w:rPr>
          <w:rFonts w:hint="eastAsia"/>
        </w:rPr>
        <w:t>本文件主要起草人：刘业军、秦晓辉、牛晶明、袁桂平、</w:t>
      </w:r>
      <w:r>
        <w:rPr>
          <w:rFonts w:hint="eastAsia"/>
          <w:lang w:eastAsia="zh-CN"/>
        </w:rPr>
        <w:t>张海涛、</w:t>
      </w:r>
      <w:r>
        <w:rPr>
          <w:rFonts w:hint="eastAsia"/>
        </w:rPr>
        <w:t>马莉媛、王鹏云、</w:t>
      </w:r>
      <w:r>
        <w:rPr>
          <w:rFonts w:hint="eastAsia"/>
          <w:lang w:eastAsia="zh-CN"/>
        </w:rPr>
        <w:t>赵东辉</w:t>
      </w:r>
      <w:r>
        <w:rPr>
          <w:rFonts w:hint="eastAsia"/>
        </w:rPr>
        <w:t>、王茹、李加良、李凯、赵明、陈莫华、李宗泰、焦正超、唐明哲、任宗悦、林龙章、陈昊、孙瀚阁、胡圣明。</w:t>
      </w:r>
    </w:p>
    <w:p w14:paraId="2A6F40F8">
      <w:pPr>
        <w:pStyle w:val="56"/>
        <w:ind w:firstLine="420"/>
      </w:pPr>
      <w:r>
        <w:t>本文件于</w:t>
      </w:r>
      <w:r>
        <w:rPr>
          <w:rFonts w:hint="eastAsia"/>
        </w:rPr>
        <w:t>2024年首次发布。</w:t>
      </w:r>
    </w:p>
    <w:p w14:paraId="50A045B5">
      <w:pPr>
        <w:pStyle w:val="56"/>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p>
    <w:bookmarkEnd w:id="18"/>
    <w:p w14:paraId="0593575D">
      <w:pPr>
        <w:spacing w:line="20" w:lineRule="exact"/>
        <w:jc w:val="center"/>
        <w:rPr>
          <w:rFonts w:ascii="黑体" w:hAnsi="黑体" w:eastAsia="黑体"/>
          <w:sz w:val="32"/>
          <w:szCs w:val="32"/>
        </w:rPr>
      </w:pPr>
      <w:bookmarkStart w:id="19" w:name="BookMark4"/>
    </w:p>
    <w:p w14:paraId="2D16D125">
      <w:pPr>
        <w:spacing w:line="20" w:lineRule="exact"/>
        <w:jc w:val="center"/>
        <w:rPr>
          <w:rFonts w:ascii="黑体" w:hAnsi="黑体" w:eastAsia="黑体"/>
          <w:sz w:val="32"/>
          <w:szCs w:val="32"/>
        </w:rPr>
      </w:pPr>
    </w:p>
    <w:sdt>
      <w:sdtPr>
        <w:tag w:val="NEW_STAND_NAME"/>
        <w:id w:val="595910757"/>
        <w:lock w:val="sdtLocked"/>
        <w:placeholder>
          <w:docPart w:val="5A977575371B46D798265058F8697AAF"/>
        </w:placeholder>
      </w:sdtPr>
      <w:sdtContent>
        <w:p w14:paraId="7E4C99F1">
          <w:pPr>
            <w:pStyle w:val="177"/>
            <w:spacing w:before="3" w:beforeLines="1" w:after="686" w:afterLines="220"/>
          </w:pPr>
          <w:bookmarkStart w:id="20" w:name="NEW_STAND_NAME"/>
          <w:r>
            <w:rPr>
              <w:rFonts w:hint="eastAsia"/>
            </w:rPr>
            <w:t>非公路用旅游观光车辆安全管理规范</w:t>
          </w:r>
        </w:p>
      </w:sdtContent>
    </w:sdt>
    <w:bookmarkEnd w:id="20"/>
    <w:p w14:paraId="238A39D5">
      <w:pPr>
        <w:pStyle w:val="104"/>
        <w:spacing w:before="312" w:after="312"/>
      </w:pPr>
      <w:bookmarkStart w:id="21" w:name="_Toc26718930"/>
      <w:bookmarkStart w:id="22" w:name="_Toc17233333"/>
      <w:bookmarkStart w:id="23" w:name="_Toc24884218"/>
      <w:bookmarkStart w:id="24" w:name="_Toc24884211"/>
      <w:bookmarkStart w:id="25" w:name="_Toc17233325"/>
      <w:bookmarkStart w:id="26" w:name="_Toc26986771"/>
      <w:bookmarkStart w:id="27" w:name="_Toc97191423"/>
      <w:bookmarkStart w:id="28" w:name="_Toc26986530"/>
      <w:bookmarkStart w:id="29" w:name="_Toc26648465"/>
      <w:r>
        <w:rPr>
          <w:rFonts w:hint="eastAsia"/>
        </w:rPr>
        <w:t>范围</w:t>
      </w:r>
      <w:bookmarkEnd w:id="21"/>
      <w:bookmarkEnd w:id="22"/>
      <w:bookmarkEnd w:id="23"/>
      <w:bookmarkEnd w:id="24"/>
      <w:bookmarkEnd w:id="25"/>
      <w:bookmarkEnd w:id="26"/>
      <w:bookmarkEnd w:id="27"/>
      <w:bookmarkEnd w:id="28"/>
      <w:bookmarkEnd w:id="29"/>
    </w:p>
    <w:p w14:paraId="42089321">
      <w:pPr>
        <w:pStyle w:val="56"/>
        <w:ind w:firstLine="420"/>
      </w:pPr>
      <w:bookmarkStart w:id="30" w:name="_Toc17233334"/>
      <w:bookmarkStart w:id="31" w:name="_Toc17233326"/>
      <w:bookmarkStart w:id="32" w:name="_Toc24884212"/>
      <w:bookmarkStart w:id="33" w:name="_Toc26648466"/>
      <w:bookmarkStart w:id="34" w:name="_Toc24884219"/>
      <w:r>
        <w:rPr>
          <w:rFonts w:hint="eastAsia"/>
        </w:rPr>
        <w:t>本文件规定了非公路用旅游观光车辆的使用安全管理、应急管理、事故报告及处理的通用要求。</w:t>
      </w:r>
    </w:p>
    <w:p w14:paraId="00D8578F">
      <w:pPr>
        <w:pStyle w:val="56"/>
        <w:ind w:firstLine="420"/>
      </w:pPr>
      <w:r>
        <w:rPr>
          <w:rFonts w:hint="eastAsia"/>
        </w:rPr>
        <w:t>本文件适用于《场（厂）内专用机动车辆安全技术规程》（TSG 81-2022）规定的旅游景区、游乐场所内使用的非公路用旅游观光车辆安全管理，其它场所使用的非公路用旅游观光车辆可以参照执行。</w:t>
      </w:r>
    </w:p>
    <w:p w14:paraId="78148864">
      <w:pPr>
        <w:pStyle w:val="104"/>
        <w:spacing w:before="312" w:after="312"/>
      </w:pPr>
      <w:bookmarkStart w:id="35" w:name="_Toc26718931"/>
      <w:bookmarkStart w:id="36" w:name="_Toc97191424"/>
      <w:bookmarkStart w:id="37" w:name="_Toc26986531"/>
      <w:bookmarkStart w:id="38" w:name="_Toc26986772"/>
      <w:r>
        <w:rPr>
          <w:rFonts w:hint="eastAsia"/>
        </w:rPr>
        <w:t>规范性引用文件</w:t>
      </w:r>
      <w:bookmarkEnd w:id="30"/>
      <w:bookmarkEnd w:id="31"/>
      <w:bookmarkEnd w:id="32"/>
      <w:bookmarkEnd w:id="33"/>
      <w:bookmarkEnd w:id="34"/>
      <w:bookmarkEnd w:id="35"/>
      <w:bookmarkEnd w:id="36"/>
      <w:bookmarkEnd w:id="37"/>
      <w:bookmarkEnd w:id="38"/>
    </w:p>
    <w:sdt>
      <w:sdtPr>
        <w:rPr>
          <w:rFonts w:hint="eastAsia"/>
        </w:rPr>
        <w:id w:val="715848253"/>
        <w:placeholder>
          <w:docPart w:val="A6B99CC7C37C446AAFFAEF1DF3620C9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06F2521E">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2F3BB430">
      <w:pPr>
        <w:pStyle w:val="56"/>
        <w:ind w:firstLine="420"/>
      </w:pPr>
      <w:r>
        <w:rPr>
          <w:rFonts w:hint="eastAsia"/>
        </w:rPr>
        <w:t>GB/T 21268   非公路用旅游观光车通用技术条件</w:t>
      </w:r>
    </w:p>
    <w:p w14:paraId="2950BC57">
      <w:pPr>
        <w:pStyle w:val="56"/>
        <w:ind w:firstLine="420"/>
      </w:pPr>
      <w:r>
        <w:rPr>
          <w:rFonts w:hint="eastAsia"/>
        </w:rPr>
        <w:t>GB/T 38433   非公路用旅游观光列车通用技术条件</w:t>
      </w:r>
    </w:p>
    <w:p w14:paraId="7709BB0F">
      <w:pPr>
        <w:pStyle w:val="56"/>
        <w:ind w:firstLine="420"/>
      </w:pPr>
      <w:r>
        <w:rPr>
          <w:rFonts w:hint="eastAsia"/>
        </w:rPr>
        <w:t>GB 5768.1    道路交通标志和标线 第1部分：总则</w:t>
      </w:r>
    </w:p>
    <w:p w14:paraId="61203A52">
      <w:pPr>
        <w:pStyle w:val="56"/>
        <w:ind w:firstLine="420"/>
      </w:pPr>
      <w:r>
        <w:rPr>
          <w:rFonts w:hint="eastAsia"/>
        </w:rPr>
        <w:t>GB 5768.2    道路交通标志和标线 第2部分：道路交通标志</w:t>
      </w:r>
    </w:p>
    <w:p w14:paraId="76666801">
      <w:pPr>
        <w:pStyle w:val="56"/>
        <w:ind w:firstLine="420"/>
      </w:pPr>
      <w:r>
        <w:rPr>
          <w:rFonts w:hint="eastAsia"/>
        </w:rPr>
        <w:t>GB 5768.3    道路交通标志和标线 第3部分：道路交通标线</w:t>
      </w:r>
    </w:p>
    <w:p w14:paraId="63B605E5">
      <w:pPr>
        <w:pStyle w:val="56"/>
        <w:ind w:firstLine="420"/>
      </w:pPr>
      <w:r>
        <w:rPr>
          <w:rFonts w:hint="eastAsia"/>
        </w:rPr>
        <w:t>GB/T 41097   非公路用旅游观光车辆使用管理</w:t>
      </w:r>
    </w:p>
    <w:p w14:paraId="3D9D9944">
      <w:pPr>
        <w:pStyle w:val="56"/>
        <w:ind w:firstLine="420"/>
      </w:pPr>
      <w:r>
        <w:rPr>
          <w:rFonts w:hint="eastAsia"/>
        </w:rPr>
        <w:t>TSG 08-2017  特种设备使用管理规则</w:t>
      </w:r>
    </w:p>
    <w:p w14:paraId="33695524">
      <w:pPr>
        <w:pStyle w:val="56"/>
        <w:ind w:firstLine="420"/>
      </w:pPr>
      <w:r>
        <w:rPr>
          <w:rFonts w:hint="eastAsia"/>
        </w:rPr>
        <w:t>TSG 81-2022   场（厂）内机动车辆安全技术规程</w:t>
      </w:r>
    </w:p>
    <w:p w14:paraId="5BB5A432">
      <w:pPr>
        <w:pStyle w:val="104"/>
        <w:spacing w:before="312" w:after="312"/>
      </w:pPr>
      <w:bookmarkStart w:id="39" w:name="_Toc97191425"/>
      <w:r>
        <w:rPr>
          <w:rFonts w:hint="eastAsia"/>
          <w:szCs w:val="21"/>
        </w:rPr>
        <w:t>术语和定义</w:t>
      </w:r>
      <w:bookmarkEnd w:id="39"/>
    </w:p>
    <w:sdt>
      <w:sdtPr>
        <w:id w:val="-1909835108"/>
        <w:placeholder>
          <w:docPart w:val="FC397904A02B48C1B095E131EDFE1C6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3BE5599">
          <w:pPr>
            <w:pStyle w:val="56"/>
            <w:ind w:firstLine="420"/>
          </w:pPr>
          <w:bookmarkStart w:id="40" w:name="_Toc26986532"/>
          <w:bookmarkEnd w:id="40"/>
          <w:r>
            <w:rPr>
              <w:rFonts w:hint="eastAsia"/>
            </w:rPr>
            <w:t>GB/T 21268、GB/T 38433、GB 5768.1、GB 5768.2、GB 5768.3</w:t>
          </w:r>
          <w:r>
            <w:t>界定的以及下列术语和定义适用于本文件。</w:t>
          </w:r>
        </w:p>
      </w:sdtContent>
    </w:sdt>
    <w:p w14:paraId="2A6F1B92">
      <w:pPr>
        <w:pStyle w:val="105"/>
        <w:spacing w:before="156" w:after="156"/>
      </w:pPr>
      <w:r>
        <w:rPr>
          <w:rFonts w:hint="eastAsia"/>
          <w:lang w:eastAsia="zh-CN"/>
        </w:rPr>
        <w:t>作业环境</w:t>
      </w:r>
      <w:r>
        <w:rPr>
          <w:rFonts w:hint="eastAsia"/>
          <w:lang w:val="en-US" w:eastAsia="zh-CN"/>
        </w:rPr>
        <w:t xml:space="preserve">  </w:t>
      </w:r>
      <w:r>
        <w:rPr>
          <w:rFonts w:hint="eastAsia"/>
        </w:rPr>
        <w:t>working environment</w:t>
      </w:r>
    </w:p>
    <w:p w14:paraId="509E6DCD">
      <w:pPr>
        <w:pStyle w:val="56"/>
        <w:ind w:firstLine="420"/>
      </w:pPr>
      <w:r>
        <w:rPr>
          <w:rFonts w:hint="eastAsia"/>
        </w:rPr>
        <w:t>非公路用旅游观光车辆行驶路线、临时停放的区域。</w:t>
      </w:r>
    </w:p>
    <w:p w14:paraId="09ACB850">
      <w:pPr>
        <w:pStyle w:val="105"/>
        <w:spacing w:before="156" w:after="156"/>
        <w:rPr>
          <w:rFonts w:hint="eastAsia" w:ascii="黑体" w:hAnsi="黑体" w:eastAsia="黑体" w:cs="黑体"/>
        </w:rPr>
      </w:pPr>
      <w:r>
        <w:rPr>
          <w:rFonts w:hint="eastAsia" w:ascii="黑体" w:hAnsi="黑体" w:eastAsia="黑体" w:cs="黑体"/>
          <w:b w:val="0"/>
          <w:bCs w:val="0"/>
          <w:lang w:eastAsia="zh-CN"/>
        </w:rPr>
        <w:t>使用单位</w:t>
      </w:r>
      <w:r>
        <w:rPr>
          <w:rFonts w:hint="eastAsia" w:hAnsi="黑体" w:cs="黑体"/>
          <w:lang w:val="en-US" w:eastAsia="zh-CN"/>
        </w:rPr>
        <w:t xml:space="preserve">  </w:t>
      </w:r>
      <w:r>
        <w:rPr>
          <w:rFonts w:hint="eastAsia"/>
        </w:rPr>
        <w:t>using entity</w:t>
      </w:r>
    </w:p>
    <w:p w14:paraId="514F90C4">
      <w:pPr>
        <w:pStyle w:val="56"/>
        <w:ind w:firstLine="420"/>
        <w:rPr>
          <w:sz w:val="18"/>
          <w:szCs w:val="18"/>
        </w:rPr>
      </w:pPr>
      <w:r>
        <w:rPr>
          <w:rFonts w:hint="eastAsia"/>
        </w:rPr>
        <w:t xml:space="preserve">具有非公路用旅游观光车辆使用管理全的单位或者具有完全民事行为能力的自然人。                                    </w:t>
      </w:r>
    </w:p>
    <w:p w14:paraId="5E769E0F">
      <w:pPr>
        <w:pStyle w:val="105"/>
        <w:spacing w:before="156" w:after="156"/>
        <w:rPr>
          <w:rFonts w:eastAsia="宋体"/>
        </w:rPr>
      </w:pPr>
      <w:r>
        <w:rPr>
          <w:rFonts w:hint="eastAsia" w:hAnsi="黑体" w:cs="黑体"/>
          <w:b w:val="0"/>
          <w:bCs w:val="0"/>
          <w:lang w:eastAsia="zh-CN"/>
        </w:rPr>
        <w:t>事故</w:t>
      </w:r>
      <w:r>
        <w:rPr>
          <w:rFonts w:hint="eastAsia" w:hAnsi="黑体" w:cs="黑体"/>
          <w:lang w:val="en-US" w:eastAsia="zh-CN"/>
        </w:rPr>
        <w:t xml:space="preserve">  </w:t>
      </w:r>
      <w:r>
        <w:rPr>
          <w:rFonts w:hint="eastAsia"/>
        </w:rPr>
        <w:t>accident</w:t>
      </w:r>
    </w:p>
    <w:p w14:paraId="06AD62A5">
      <w:pPr>
        <w:pStyle w:val="56"/>
        <w:ind w:firstLine="420"/>
        <w:rPr>
          <w:color w:val="FF0000"/>
          <w:sz w:val="18"/>
          <w:szCs w:val="18"/>
        </w:rPr>
      </w:pPr>
      <w:r>
        <w:rPr>
          <w:rFonts w:hint="eastAsia"/>
        </w:rPr>
        <w:t xml:space="preserve">因非公路用旅游观光车辆的不安全状态或者相关人员的不安全行为，在使用过程中造成的人员伤亡、财产损失、车辆严重损坏或者中断运行、人员滞留、人员转移等突发事件。       </w:t>
      </w:r>
    </w:p>
    <w:p w14:paraId="1490E2C4">
      <w:pPr>
        <w:pStyle w:val="105"/>
        <w:spacing w:before="156" w:after="156"/>
        <w:rPr>
          <w:rFonts w:eastAsia="宋体"/>
        </w:rPr>
      </w:pPr>
      <w:r>
        <w:rPr>
          <w:rFonts w:hint="eastAsia" w:hAnsi="黑体" w:cs="黑体"/>
          <w:b w:val="0"/>
          <w:bCs w:val="0"/>
          <w:lang w:eastAsia="zh-CN"/>
        </w:rPr>
        <w:t>使用登记</w:t>
      </w:r>
      <w:r>
        <w:rPr>
          <w:rFonts w:hint="eastAsia" w:hAnsi="黑体" w:cs="黑体"/>
          <w:b/>
          <w:bCs/>
          <w:lang w:val="en-US" w:eastAsia="zh-CN"/>
        </w:rPr>
        <w:t xml:space="preserve">  </w:t>
      </w:r>
      <w:r>
        <w:rPr>
          <w:rFonts w:hint="eastAsia"/>
        </w:rPr>
        <w:t>use registration</w:t>
      </w:r>
    </w:p>
    <w:p w14:paraId="3ABFB593">
      <w:pPr>
        <w:pStyle w:val="56"/>
        <w:ind w:firstLine="420"/>
      </w:pPr>
      <w:r>
        <w:rPr>
          <w:rFonts w:hint="eastAsia"/>
        </w:rPr>
        <w:t>非公路用旅游观光车辆的使用单位向特种设备所在地的特种设备安全监管部门申请办理的使用登记。</w:t>
      </w:r>
    </w:p>
    <w:p w14:paraId="34D0BED3">
      <w:pPr>
        <w:pStyle w:val="104"/>
        <w:spacing w:before="312" w:after="312"/>
      </w:pPr>
      <w:r>
        <w:rPr>
          <w:rFonts w:hint="eastAsia"/>
        </w:rPr>
        <w:t>使用安全管理</w:t>
      </w:r>
    </w:p>
    <w:p w14:paraId="79D7CFD7">
      <w:pPr>
        <w:pStyle w:val="105"/>
        <w:spacing w:before="156" w:after="156"/>
        <w:rPr>
          <w:b w:val="0"/>
          <w:bCs w:val="0"/>
        </w:rPr>
      </w:pPr>
      <w:r>
        <w:rPr>
          <w:b w:val="0"/>
          <w:bCs w:val="0"/>
        </w:rPr>
        <w:t>基本要求</w:t>
      </w:r>
    </w:p>
    <w:p w14:paraId="4C12820C">
      <w:pPr>
        <w:pStyle w:val="165"/>
        <w:rPr>
          <w:sz w:val="15"/>
          <w:szCs w:val="15"/>
        </w:rPr>
      </w:pPr>
      <w:r>
        <w:rPr>
          <w:rFonts w:hint="eastAsia"/>
        </w:rPr>
        <w:t>使用单位的实际最高管理者应该是非公路用旅游观光车辆安全使用的主要负责人，对非公路用旅游观光车辆的使用安全负总责。</w:t>
      </w:r>
    </w:p>
    <w:p w14:paraId="394189DD">
      <w:pPr>
        <w:pStyle w:val="165"/>
        <w:rPr>
          <w:sz w:val="15"/>
          <w:szCs w:val="15"/>
        </w:rPr>
      </w:pPr>
      <w:r>
        <w:rPr>
          <w:rFonts w:hint="eastAsia"/>
        </w:rPr>
        <w:t xml:space="preserve">使用单位应建立健全的非公路用旅游观光车辆管理制度，管理制度至少应包括以下内容：                               </w:t>
      </w:r>
    </w:p>
    <w:p w14:paraId="582BC00A">
      <w:pPr>
        <w:pStyle w:val="174"/>
      </w:pPr>
      <w:r>
        <w:rPr>
          <w:rFonts w:hint="eastAsia"/>
        </w:rPr>
        <w:t>非公路用旅游观光车辆日常维护保养、定期检查和相关记录制度；</w:t>
      </w:r>
    </w:p>
    <w:p w14:paraId="2FED003E">
      <w:pPr>
        <w:pStyle w:val="174"/>
      </w:pPr>
      <w:r>
        <w:rPr>
          <w:rFonts w:hint="eastAsia"/>
        </w:rPr>
        <w:t>非公路用旅游观光车辆使用登记、定期检验申请管理制度；</w:t>
      </w:r>
    </w:p>
    <w:p w14:paraId="64DF144D">
      <w:pPr>
        <w:pStyle w:val="174"/>
      </w:pPr>
      <w:r>
        <w:rPr>
          <w:rFonts w:hint="eastAsia"/>
          <w:lang w:eastAsia="zh-CN"/>
        </w:rPr>
        <w:t>非公路用旅游观光车辆日管控、周排查、月调度工作制度</w:t>
      </w:r>
      <w:r>
        <w:rPr>
          <w:rFonts w:hint="eastAsia"/>
        </w:rPr>
        <w:t>；</w:t>
      </w:r>
    </w:p>
    <w:p w14:paraId="6BC989D7">
      <w:pPr>
        <w:pStyle w:val="174"/>
      </w:pPr>
      <w:r>
        <w:rPr>
          <w:rFonts w:hint="eastAsia"/>
        </w:rPr>
        <w:t>非公路用旅游观光车辆采购、报废、修理、改造制度；</w:t>
      </w:r>
    </w:p>
    <w:p w14:paraId="3CB9D619">
      <w:pPr>
        <w:pStyle w:val="174"/>
      </w:pPr>
      <w:r>
        <w:rPr>
          <w:rFonts w:hint="eastAsia"/>
        </w:rPr>
        <w:t>非公路用旅游观光车辆应急救援管理制度；</w:t>
      </w:r>
    </w:p>
    <w:p w14:paraId="2790D96A">
      <w:pPr>
        <w:pStyle w:val="174"/>
      </w:pPr>
      <w:r>
        <w:rPr>
          <w:rFonts w:hint="eastAsia"/>
        </w:rPr>
        <w:t>非公路用旅游观光车辆事故报告和处理制度。</w:t>
      </w:r>
    </w:p>
    <w:p w14:paraId="57809B98">
      <w:pPr>
        <w:pStyle w:val="165"/>
      </w:pPr>
      <w:r>
        <w:rPr>
          <w:rFonts w:hint="eastAsia"/>
        </w:rPr>
        <w:t>使用非公路用旅游观光车辆及其它特种设备（不含气瓶）总量50台及以上的使用单位，应根据本单位特种设备的类别、品种、用途和数量等情况设置特种设备安全管理机构，逐台落实安全责任人。</w:t>
      </w:r>
    </w:p>
    <w:p w14:paraId="578027C2">
      <w:pPr>
        <w:pStyle w:val="165"/>
      </w:pPr>
      <w:r>
        <w:rPr>
          <w:rFonts w:hint="eastAsia"/>
        </w:rPr>
        <w:t>非公路用旅游观光车辆使用单位应配备安全管理负责人，并应持有特种设备安全管理员资格证。</w:t>
      </w:r>
    </w:p>
    <w:p w14:paraId="78F8DF33">
      <w:pPr>
        <w:pStyle w:val="165"/>
      </w:pPr>
      <w:r>
        <w:rPr>
          <w:rFonts w:hint="eastAsia"/>
        </w:rPr>
        <w:t>使用非公路用旅游观光车辆及其它特种设备（不含气瓶）总量20台及以上的使用单位，应配备专职安全管理员，其它使用单位可以配备兼职安全管理员，专职和兼职安全管理员均应取得特种设备安全管理员资格证。</w:t>
      </w:r>
    </w:p>
    <w:p w14:paraId="6BF3CE0F">
      <w:pPr>
        <w:pStyle w:val="165"/>
      </w:pPr>
      <w:r>
        <w:rPr>
          <w:rFonts w:hint="eastAsia"/>
        </w:rPr>
        <w:t>非公路用旅游观光车辆驾驶人员应取得相应的《特种设备作业人员证》，严格遵守安全操作规程和安全管理制度，不得违章作业。</w:t>
      </w:r>
    </w:p>
    <w:p w14:paraId="314E98C8">
      <w:pPr>
        <w:pStyle w:val="105"/>
        <w:spacing w:before="156" w:after="156"/>
      </w:pPr>
      <w:r>
        <w:rPr>
          <w:rFonts w:hint="eastAsia"/>
        </w:rPr>
        <w:t>安全管理制度</w:t>
      </w:r>
    </w:p>
    <w:p w14:paraId="4E534690">
      <w:pPr>
        <w:pStyle w:val="165"/>
      </w:pPr>
      <w:r>
        <w:rPr>
          <w:rFonts w:hint="eastAsia"/>
        </w:rPr>
        <w:t>使用单位的非公路用旅游观光辆车安全管理工作至少应包括以下内容：</w:t>
      </w:r>
    </w:p>
    <w:p w14:paraId="605E2352">
      <w:pPr>
        <w:pStyle w:val="174"/>
        <w:numPr>
          <w:ilvl w:val="0"/>
          <w:numId w:val="32"/>
        </w:numPr>
      </w:pPr>
      <w:r>
        <w:rPr>
          <w:rFonts w:hint="eastAsia"/>
        </w:rPr>
        <w:t>明确安全管理部门和相关责任人员；</w:t>
      </w:r>
    </w:p>
    <w:p w14:paraId="0D272FC6">
      <w:pPr>
        <w:pStyle w:val="174"/>
      </w:pPr>
      <w:r>
        <w:rPr>
          <w:rFonts w:hint="eastAsia"/>
        </w:rPr>
        <w:t>制定岗位职责操作规程、日常检查内容和方法，有检查表单；</w:t>
      </w:r>
    </w:p>
    <w:p w14:paraId="5AD3BE4C">
      <w:pPr>
        <w:pStyle w:val="174"/>
      </w:pPr>
      <w:r>
        <w:rPr>
          <w:rFonts w:hint="eastAsia"/>
          <w:lang w:eastAsia="zh-CN"/>
        </w:rPr>
        <w:t>制定《非公路用旅游观光车辆安全风险管控清单》；</w:t>
      </w:r>
      <w:bookmarkStart w:id="41" w:name="_GoBack"/>
      <w:bookmarkEnd w:id="41"/>
    </w:p>
    <w:p w14:paraId="69C8869C">
      <w:pPr>
        <w:pStyle w:val="174"/>
      </w:pPr>
      <w:r>
        <w:rPr>
          <w:rFonts w:hint="eastAsia"/>
        </w:rPr>
        <w:t>制定事故应急救援预案，组织事故应急演练；</w:t>
      </w:r>
    </w:p>
    <w:p w14:paraId="665C631F">
      <w:pPr>
        <w:pStyle w:val="174"/>
      </w:pPr>
      <w:r>
        <w:rPr>
          <w:rFonts w:hint="eastAsia"/>
        </w:rPr>
        <w:t>制订非公路用旅游观光车辆定期检验计划。</w:t>
      </w:r>
    </w:p>
    <w:p w14:paraId="69A8109C">
      <w:pPr>
        <w:pStyle w:val="165"/>
      </w:pPr>
      <w:r>
        <w:rPr>
          <w:rFonts w:hint="eastAsia"/>
        </w:rPr>
        <w:t>使用单位建立的非公路用旅游观光车辆安全管理制度至少应包括下列内容：</w:t>
      </w:r>
    </w:p>
    <w:p w14:paraId="69AABE86">
      <w:pPr>
        <w:pStyle w:val="174"/>
        <w:numPr>
          <w:ilvl w:val="0"/>
          <w:numId w:val="33"/>
        </w:numPr>
      </w:pPr>
      <w:r>
        <w:rPr>
          <w:rFonts w:hint="eastAsia"/>
        </w:rPr>
        <w:t>岗位责任制度，包括安全管理机构（需设置时）的职责，单位主要负责人、安全管理员和司机的岗位责任制度，交接班制度或点检制度；</w:t>
      </w:r>
    </w:p>
    <w:p w14:paraId="5E9C22CB">
      <w:pPr>
        <w:pStyle w:val="174"/>
      </w:pPr>
      <w:r>
        <w:rPr>
          <w:rFonts w:hint="eastAsia"/>
        </w:rPr>
        <w:t>隐患自查（排查）制度，包括安全检查制度，事故隐患的收集、查找、上报和整改制度；</w:t>
      </w:r>
    </w:p>
    <w:p w14:paraId="48FFEBE4">
      <w:pPr>
        <w:pStyle w:val="174"/>
      </w:pPr>
      <w:r>
        <w:rPr>
          <w:rFonts w:hint="eastAsia"/>
        </w:rPr>
        <w:t>应急救援制度，包括应急指挥机构与职责分工，非公路用旅游观光车的危险源评估，应急救援预案，应急队伍及装备，应急演练及救援措施，事故报告及处理。</w:t>
      </w:r>
    </w:p>
    <w:p w14:paraId="24ED05C0">
      <w:pPr>
        <w:pStyle w:val="165"/>
      </w:pPr>
      <w:r>
        <w:rPr>
          <w:rFonts w:hint="eastAsia"/>
        </w:rPr>
        <w:t>使用单位建立的非公路用旅游观光车辆安全技术档案至少应包括下列内容：</w:t>
      </w:r>
    </w:p>
    <w:p w14:paraId="402E42C8">
      <w:pPr>
        <w:pStyle w:val="174"/>
        <w:numPr>
          <w:ilvl w:val="0"/>
          <w:numId w:val="34"/>
        </w:numPr>
      </w:pPr>
      <w:r>
        <w:rPr>
          <w:rFonts w:hint="eastAsia"/>
        </w:rPr>
        <w:t>非公路用旅游观光车使用登记证书；</w:t>
      </w:r>
    </w:p>
    <w:p w14:paraId="6C2CAFCD">
      <w:pPr>
        <w:pStyle w:val="174"/>
      </w:pPr>
      <w:r>
        <w:rPr>
          <w:rFonts w:hint="eastAsia"/>
        </w:rPr>
        <w:t>非公路用旅游观光车辆的主要设计图样、产品合格证、使用维护保养说明书、改造修理的相关技术资料和文件（发生改造或修理时）；</w:t>
      </w:r>
    </w:p>
    <w:p w14:paraId="05158AD1">
      <w:pPr>
        <w:pStyle w:val="174"/>
      </w:pPr>
      <w:r>
        <w:rPr>
          <w:rFonts w:hint="eastAsia"/>
        </w:rPr>
        <w:t>定期检验和定期自行检查记录；</w:t>
      </w:r>
    </w:p>
    <w:p w14:paraId="70107F34">
      <w:pPr>
        <w:pStyle w:val="174"/>
      </w:pPr>
      <w:r>
        <w:rPr>
          <w:rFonts w:hint="eastAsia"/>
        </w:rPr>
        <w:t>日常使用状况记录；</w:t>
      </w:r>
    </w:p>
    <w:p w14:paraId="53D302DD">
      <w:pPr>
        <w:pStyle w:val="174"/>
      </w:pPr>
      <w:r>
        <w:rPr>
          <w:rFonts w:hint="eastAsia"/>
        </w:rPr>
        <w:t>非公路用旅游观光车辆维护保养记录；</w:t>
      </w:r>
    </w:p>
    <w:p w14:paraId="592541AC">
      <w:pPr>
        <w:pStyle w:val="174"/>
      </w:pPr>
      <w:r>
        <w:rPr>
          <w:rFonts w:hint="eastAsia"/>
        </w:rPr>
        <w:t>运行故障和事故记录。</w:t>
      </w:r>
    </w:p>
    <w:p w14:paraId="73094AFE">
      <w:pPr>
        <w:pStyle w:val="165"/>
      </w:pPr>
      <w:r>
        <w:rPr>
          <w:rFonts w:hint="eastAsia"/>
        </w:rPr>
        <w:t>使用单位应根据本单位的具体情况和非公路用旅游观光车辆的具体特性制定安全操作规程。安全操作规程应符合非公路用旅游观光车辆的具体特性制定安全操作规程。安全操作规程应符合非公路用旅游观光车辆使用维护说明书的要求，包括：操作技术要求、安全要求、操作程序、禁止行为等。</w:t>
      </w:r>
    </w:p>
    <w:p w14:paraId="4B055A95">
      <w:pPr>
        <w:pStyle w:val="165"/>
      </w:pPr>
      <w:r>
        <w:rPr>
          <w:rFonts w:hint="eastAsia"/>
        </w:rPr>
        <w:t>使用单位可委托有能力和资质的服务外包单位对其非公路用旅游观光车辆进行全面安全管理，并对受委托单位进行安全、服务和质量的监督，双方以书面协议明确各自权利和义务，受托人履行使用单位义务的部分，应承担相应的责任。</w:t>
      </w:r>
    </w:p>
    <w:p w14:paraId="0C2824D1">
      <w:pPr>
        <w:pStyle w:val="105"/>
        <w:spacing w:before="156" w:after="156"/>
      </w:pPr>
      <w:r>
        <w:rPr>
          <w:rFonts w:hint="eastAsia"/>
        </w:rPr>
        <w:t>人员</w:t>
      </w:r>
    </w:p>
    <w:p w14:paraId="7D83F117">
      <w:pPr>
        <w:pStyle w:val="165"/>
      </w:pPr>
      <w:r>
        <w:rPr>
          <w:rFonts w:hint="eastAsia"/>
        </w:rPr>
        <w:t>安全管理负责人的职责至少应包括如下内容：</w:t>
      </w:r>
    </w:p>
    <w:p w14:paraId="7F797C2D">
      <w:pPr>
        <w:pStyle w:val="174"/>
        <w:numPr>
          <w:ilvl w:val="0"/>
          <w:numId w:val="35"/>
        </w:numPr>
      </w:pPr>
      <w:r>
        <w:rPr>
          <w:rFonts w:hint="eastAsia"/>
        </w:rPr>
        <w:t>协助本单位主要负责人履行非公路用旅游观光车辆安全的领导职责，确保本单位非公路用旅游观光车的安全使用；</w:t>
      </w:r>
    </w:p>
    <w:p w14:paraId="3F46CA12">
      <w:pPr>
        <w:pStyle w:val="174"/>
      </w:pPr>
      <w:r>
        <w:rPr>
          <w:rFonts w:hint="eastAsia"/>
        </w:rPr>
        <w:t>宣传和贯彻国家有关法律、行政法规和安全技术规范的确定；</w:t>
      </w:r>
    </w:p>
    <w:p w14:paraId="324C9954">
      <w:pPr>
        <w:pStyle w:val="174"/>
      </w:pPr>
      <w:r>
        <w:rPr>
          <w:rFonts w:hint="eastAsia"/>
        </w:rPr>
        <w:t>组织编制并及时更新非公路用旅游观光车辆的安全管理制度，落实安全管理机构和安全管理员的配备；</w:t>
      </w:r>
    </w:p>
    <w:p w14:paraId="0FE7D99F">
      <w:pPr>
        <w:pStyle w:val="174"/>
      </w:pPr>
      <w:r>
        <w:rPr>
          <w:rFonts w:hint="eastAsia"/>
        </w:rPr>
        <w:t>制定非公路用旅游观光车辆应急救援预案，定期组织演练；</w:t>
      </w:r>
    </w:p>
    <w:p w14:paraId="7DFEC20D">
      <w:pPr>
        <w:pStyle w:val="174"/>
      </w:pPr>
      <w:r>
        <w:rPr>
          <w:rFonts w:hint="eastAsia"/>
        </w:rPr>
        <w:t>检查本单位非公路用旅游观光车辆安全管理工作实际情况；</w:t>
      </w:r>
    </w:p>
    <w:p w14:paraId="23B16955">
      <w:pPr>
        <w:pStyle w:val="174"/>
      </w:pPr>
      <w:r>
        <w:rPr>
          <w:rFonts w:hint="eastAsia"/>
        </w:rPr>
        <w:t>组织本单位的非公路用旅游观光车辆事故隐患排查，提出处理意见；</w:t>
      </w:r>
    </w:p>
    <w:p w14:paraId="74675865">
      <w:pPr>
        <w:pStyle w:val="174"/>
      </w:pPr>
      <w:r>
        <w:rPr>
          <w:rFonts w:hint="eastAsia"/>
        </w:rPr>
        <w:t>当安全管理员报告非公路用旅游观光车辆存在事故隐患应当停止使用时，立即做出停止使用的决定，并及时报告单位主要负责人；</w:t>
      </w:r>
    </w:p>
    <w:p w14:paraId="41713AA5">
      <w:pPr>
        <w:pStyle w:val="174"/>
      </w:pPr>
      <w:r>
        <w:rPr>
          <w:rFonts w:hint="eastAsia"/>
        </w:rPr>
        <w:t>发生非公路用旅游观光车辆事故时，按照应急救援预案组织救援。</w:t>
      </w:r>
    </w:p>
    <w:p w14:paraId="03B4FBFF">
      <w:pPr>
        <w:pStyle w:val="165"/>
      </w:pPr>
      <w:r>
        <w:rPr>
          <w:rFonts w:hint="eastAsia"/>
        </w:rPr>
        <w:t>安全管理员的职责至少应包括以下内容：</w:t>
      </w:r>
    </w:p>
    <w:p w14:paraId="016EFB97">
      <w:pPr>
        <w:pStyle w:val="174"/>
        <w:numPr>
          <w:ilvl w:val="0"/>
          <w:numId w:val="36"/>
        </w:numPr>
      </w:pPr>
      <w:r>
        <w:rPr>
          <w:rFonts w:hint="eastAsia"/>
        </w:rPr>
        <w:t>组织建立和完善非公路用旅游观光车辆安全技术档案；</w:t>
      </w:r>
    </w:p>
    <w:p w14:paraId="1C6E10EE">
      <w:pPr>
        <w:pStyle w:val="174"/>
      </w:pPr>
      <w:r>
        <w:rPr>
          <w:rFonts w:hint="eastAsia"/>
        </w:rPr>
        <w:t>办理非公路用旅游观光车辆使用登记和变更手续；</w:t>
      </w:r>
    </w:p>
    <w:p w14:paraId="4863A299">
      <w:pPr>
        <w:pStyle w:val="174"/>
      </w:pPr>
      <w:r>
        <w:rPr>
          <w:rFonts w:hint="eastAsia"/>
        </w:rPr>
        <w:t>组织制定非公路用旅游观光车辆的安全操作规程；</w:t>
      </w:r>
    </w:p>
    <w:p w14:paraId="1CF33532">
      <w:pPr>
        <w:pStyle w:val="174"/>
      </w:pPr>
      <w:r>
        <w:rPr>
          <w:rFonts w:hint="eastAsia"/>
        </w:rPr>
        <w:t>定期组织安全管理人员、司机及相关人员的安全教育和技能培训，并做好记录；</w:t>
      </w:r>
    </w:p>
    <w:p w14:paraId="585743AA">
      <w:pPr>
        <w:pStyle w:val="174"/>
      </w:pPr>
      <w:r>
        <w:rPr>
          <w:rFonts w:hint="eastAsia"/>
        </w:rPr>
        <w:t>编制非公路用旅游观光车定期检验计划，督促落实非公路用旅游观光车辆的定期检验或首次检验的报检，隐患整改工作；</w:t>
      </w:r>
    </w:p>
    <w:p w14:paraId="085C1409">
      <w:pPr>
        <w:pStyle w:val="174"/>
      </w:pPr>
      <w:r>
        <w:rPr>
          <w:rFonts w:hint="eastAsia"/>
        </w:rPr>
        <w:t>按规定报告非公路用旅游观光车辆事故，参加非公路用旅游观光车辆事故救援，协助有关部门的事故调查和善后处理；</w:t>
      </w:r>
    </w:p>
    <w:p w14:paraId="00B3D739">
      <w:pPr>
        <w:pStyle w:val="174"/>
      </w:pPr>
      <w:r>
        <w:rPr>
          <w:rFonts w:hint="eastAsia"/>
        </w:rPr>
        <w:t>发现非公路用旅游观光车事故隐患立即处理，情况紧急时可停止非公路用旅游观光车并报告单位主要负责人；</w:t>
      </w:r>
    </w:p>
    <w:p w14:paraId="56BD201F">
      <w:pPr>
        <w:pStyle w:val="174"/>
      </w:pPr>
      <w:r>
        <w:rPr>
          <w:rFonts w:hint="eastAsia"/>
        </w:rPr>
        <w:t>建立非公路用旅游观光车辆司机管理档案，检查在岗司机持证情况；</w:t>
      </w:r>
    </w:p>
    <w:p w14:paraId="4A19161C">
      <w:pPr>
        <w:pStyle w:val="174"/>
      </w:pPr>
      <w:r>
        <w:rPr>
          <w:rFonts w:hint="eastAsia"/>
        </w:rPr>
        <w:t>纠非正和制止非公路用旅游观光车辆司机和其他人员的不安全行为，包括车辆不按首次或定期检验时的规定路线图运营行驶。</w:t>
      </w:r>
      <w:r>
        <w:rPr>
          <w:rFonts w:hint="eastAsia"/>
          <w:color w:val="FF0000"/>
        </w:rPr>
        <w:t xml:space="preserve">                                                                   </w:t>
      </w:r>
    </w:p>
    <w:p w14:paraId="22BF8C10">
      <w:pPr>
        <w:pStyle w:val="165"/>
        <w:rPr>
          <w:sz w:val="18"/>
          <w:szCs w:val="18"/>
        </w:rPr>
      </w:pPr>
      <w:r>
        <w:rPr>
          <w:rFonts w:hint="eastAsia"/>
        </w:rPr>
        <w:t xml:space="preserve">非公路用旅游观光车辆司机的职责至少包括以下内容： </w:t>
      </w:r>
    </w:p>
    <w:p w14:paraId="30CB322B">
      <w:pPr>
        <w:pStyle w:val="174"/>
        <w:numPr>
          <w:ilvl w:val="0"/>
          <w:numId w:val="37"/>
        </w:numPr>
      </w:pPr>
      <w:r>
        <w:rPr>
          <w:rFonts w:hint="eastAsia"/>
        </w:rPr>
        <w:t>熟练掌握所驾驶非公路用旅游观光车辆的安全性能；</w:t>
      </w:r>
    </w:p>
    <w:p w14:paraId="4095CF1E">
      <w:pPr>
        <w:pStyle w:val="174"/>
      </w:pPr>
      <w:r>
        <w:rPr>
          <w:rFonts w:hint="eastAsia"/>
        </w:rPr>
        <w:t>每次出车前应进行试运行检查，并且做好记录；</w:t>
      </w:r>
    </w:p>
    <w:p w14:paraId="4E33F1CF">
      <w:pPr>
        <w:pStyle w:val="174"/>
      </w:pPr>
      <w:r>
        <w:rPr>
          <w:rFonts w:hint="eastAsia"/>
        </w:rPr>
        <w:t>遵守作业场所内的限速规定，严禁超速行驶；</w:t>
      </w:r>
    </w:p>
    <w:p w14:paraId="7A4743E4">
      <w:pPr>
        <w:pStyle w:val="174"/>
        <w:rPr>
          <w:sz w:val="18"/>
          <w:szCs w:val="18"/>
        </w:rPr>
      </w:pPr>
      <w:r>
        <w:rPr>
          <w:rFonts w:hint="eastAsia"/>
        </w:rPr>
        <w:t xml:space="preserve">遵守车辆在首次或定期检验时规定的路线图内运营；   </w:t>
      </w:r>
    </w:p>
    <w:p w14:paraId="1A17BEED">
      <w:pPr>
        <w:pStyle w:val="174"/>
      </w:pPr>
      <w:r>
        <w:rPr>
          <w:rFonts w:hint="eastAsia"/>
        </w:rPr>
        <w:t>驾驶车辆时佩戴安全带；</w:t>
      </w:r>
    </w:p>
    <w:p w14:paraId="68DDDBBF">
      <w:pPr>
        <w:pStyle w:val="174"/>
      </w:pPr>
      <w:r>
        <w:rPr>
          <w:rFonts w:hint="eastAsia"/>
        </w:rPr>
        <w:t>车辆转弯、进出库门等须减速行驶；</w:t>
      </w:r>
    </w:p>
    <w:p w14:paraId="6C5934E1">
      <w:pPr>
        <w:pStyle w:val="174"/>
      </w:pPr>
      <w:r>
        <w:rPr>
          <w:rFonts w:hint="eastAsia"/>
        </w:rPr>
        <w:t>严禁超载；</w:t>
      </w:r>
    </w:p>
    <w:p w14:paraId="15FE53A7">
      <w:pPr>
        <w:pStyle w:val="174"/>
      </w:pPr>
      <w:r>
        <w:rPr>
          <w:rFonts w:hint="eastAsia"/>
        </w:rPr>
        <w:t>身体过度疲劳、患病、饮酒后严禁操作车辆；</w:t>
      </w:r>
    </w:p>
    <w:p w14:paraId="3C237061">
      <w:pPr>
        <w:pStyle w:val="174"/>
        <w:rPr>
          <w:sz w:val="18"/>
          <w:szCs w:val="18"/>
        </w:rPr>
      </w:pPr>
      <w:r>
        <w:rPr>
          <w:rFonts w:hint="eastAsia"/>
        </w:rPr>
        <w:t>自身或家庭遭遇重大变故，精神不能集中时禁止操作车辆。</w:t>
      </w:r>
    </w:p>
    <w:p w14:paraId="3EE0D9BB">
      <w:pPr>
        <w:pStyle w:val="165"/>
      </w:pPr>
      <w:r>
        <w:rPr>
          <w:rFonts w:hint="eastAsia"/>
        </w:rPr>
        <w:t>非公路用旅游观光车辆维护人员的职责</w:t>
      </w:r>
    </w:p>
    <w:p w14:paraId="05614785">
      <w:pPr>
        <w:pStyle w:val="56"/>
        <w:ind w:firstLine="420"/>
      </w:pPr>
      <w:r>
        <w:rPr>
          <w:rFonts w:hint="eastAsia"/>
        </w:rPr>
        <w:t>维护人员应做好非公路用旅游观光车辆的日常维护保养，维护保养应符合有关安全技术规范和产品使用维护说明的要求。只有经过非公路用旅游观光车的维护保养培训并获得使用单位认可的维护人员才可对非公路用旅游观光车辆进行维护保养和检查，对发现的异常情况及时处理，并做好记录。</w:t>
      </w:r>
    </w:p>
    <w:p w14:paraId="09158713">
      <w:pPr>
        <w:pStyle w:val="105"/>
        <w:spacing w:before="156" w:after="156"/>
      </w:pPr>
      <w:r>
        <w:rPr>
          <w:rFonts w:hint="eastAsia"/>
        </w:rPr>
        <w:t>设备</w:t>
      </w:r>
    </w:p>
    <w:p w14:paraId="06AC699C">
      <w:pPr>
        <w:pStyle w:val="65"/>
        <w:spacing w:before="156" w:after="156"/>
      </w:pPr>
      <w:r>
        <w:rPr>
          <w:rFonts w:hint="eastAsia"/>
        </w:rPr>
        <w:t>非公路用旅游观光车辆的购置</w:t>
      </w:r>
    </w:p>
    <w:p w14:paraId="4D833B76">
      <w:pPr>
        <w:pStyle w:val="164"/>
      </w:pPr>
      <w:r>
        <w:rPr>
          <w:rFonts w:hint="eastAsia"/>
        </w:rPr>
        <w:t>使用单位应根据非公路用旅游观光车辆使用工况、使用频率、载荷状态和工作环境等要求选择车辆。</w:t>
      </w:r>
    </w:p>
    <w:p w14:paraId="55133F02">
      <w:pPr>
        <w:pStyle w:val="164"/>
      </w:pPr>
      <w:r>
        <w:rPr>
          <w:rFonts w:hint="eastAsia"/>
        </w:rPr>
        <w:t>使用单位必须购置取得特种设备生产许可证的制造商生产的非公路用旅游观光车，不应购置国家明令淘汰和已经报废的非公路用旅游观光车辆。</w:t>
      </w:r>
    </w:p>
    <w:p w14:paraId="5C08221F">
      <w:pPr>
        <w:pStyle w:val="164"/>
      </w:pPr>
      <w:r>
        <w:rPr>
          <w:rFonts w:hint="eastAsia"/>
        </w:rPr>
        <w:t>使用单位购置非公路用旅游观光车时应查验和保存非公路用旅游观光车辆出厂时附带的设计文件、产品质量合格证明和使用维护保养说明等相关技术资料。</w:t>
      </w:r>
    </w:p>
    <w:p w14:paraId="380AE443">
      <w:pPr>
        <w:pStyle w:val="164"/>
      </w:pPr>
      <w:r>
        <w:rPr>
          <w:rFonts w:hint="eastAsia"/>
        </w:rPr>
        <w:t>使用单位购置的进口非公路用旅游观光车辆应符合我国安全技术规范的规定，并经检验合格；随机的维护保养说明书、产品铭牌和安全警示标志等技术资料应符合我国的安全技术规范规定，并提供中文版本。</w:t>
      </w:r>
    </w:p>
    <w:p w14:paraId="4195CA75">
      <w:pPr>
        <w:pStyle w:val="164"/>
      </w:pPr>
      <w:r>
        <w:rPr>
          <w:rFonts w:hint="eastAsia"/>
        </w:rPr>
        <w:t>非公路用旅游观光车辆的销售代理商应是在中华人民共和国境内注册的独立法人单位，具有承担相应法律责任的能力。</w:t>
      </w:r>
    </w:p>
    <w:p w14:paraId="7AB5A46B">
      <w:pPr>
        <w:pStyle w:val="65"/>
        <w:spacing w:before="156" w:after="156"/>
      </w:pPr>
      <w:r>
        <w:rPr>
          <w:rFonts w:hint="eastAsia"/>
        </w:rPr>
        <w:t>非公路用旅游观光车辆租赁</w:t>
      </w:r>
    </w:p>
    <w:p w14:paraId="4C525CA9">
      <w:pPr>
        <w:pStyle w:val="164"/>
      </w:pPr>
      <w:r>
        <w:rPr>
          <w:rFonts w:hint="eastAsia"/>
        </w:rPr>
        <w:t>非公路用旅游观光车制造单位或运营单位不应对外出租下列非公路用旅游观光车辆：</w:t>
      </w:r>
    </w:p>
    <w:p w14:paraId="45AC6C7C">
      <w:pPr>
        <w:pStyle w:val="174"/>
        <w:numPr>
          <w:ilvl w:val="0"/>
          <w:numId w:val="38"/>
        </w:numPr>
      </w:pPr>
      <w:r>
        <w:rPr>
          <w:rFonts w:hint="eastAsia"/>
        </w:rPr>
        <w:t>未取得生产许可制造单位制造的非公路用旅游观光车辆；</w:t>
      </w:r>
    </w:p>
    <w:p w14:paraId="5755A42E">
      <w:pPr>
        <w:pStyle w:val="174"/>
      </w:pPr>
      <w:r>
        <w:rPr>
          <w:rFonts w:hint="eastAsia"/>
        </w:rPr>
        <w:t>国家政策明令淘汰和报废的非公路用旅游观光车辆；</w:t>
      </w:r>
    </w:p>
    <w:p w14:paraId="6587EC23">
      <w:pPr>
        <w:pStyle w:val="174"/>
      </w:pPr>
      <w:r>
        <w:rPr>
          <w:rFonts w:hint="eastAsia"/>
        </w:rPr>
        <w:t>未按安全技术规范的规定进行维护保养的非公路用旅游观光车辆；</w:t>
      </w:r>
    </w:p>
    <w:p w14:paraId="2B84F0CD">
      <w:pPr>
        <w:pStyle w:val="174"/>
      </w:pPr>
      <w:r>
        <w:rPr>
          <w:rFonts w:hint="eastAsia"/>
        </w:rPr>
        <w:t>未经注册登记和检验机构（取得非公路用旅游观光车辆检验资质核准的）检验或者检验不合格的非公路用旅游观光车辆。</w:t>
      </w:r>
    </w:p>
    <w:p w14:paraId="7587ED5E">
      <w:pPr>
        <w:pStyle w:val="164"/>
      </w:pPr>
      <w:r>
        <w:rPr>
          <w:rFonts w:hint="eastAsia"/>
        </w:rPr>
        <w:t>非公路用旅游观光车辆的承租使用单位不应使用未办理使用登记或检验不合格的非公路用旅游观光车辆。</w:t>
      </w:r>
    </w:p>
    <w:p w14:paraId="3EA3FC7E">
      <w:pPr>
        <w:pStyle w:val="164"/>
      </w:pPr>
      <w:r>
        <w:rPr>
          <w:rFonts w:hint="eastAsia"/>
        </w:rPr>
        <w:t>非公路用旅游观光车辆在出租期间的使用管理和维护保养义务应由承租单位负责，法律另有规定或双方另有约定的除外。</w:t>
      </w:r>
    </w:p>
    <w:p w14:paraId="103548C7">
      <w:pPr>
        <w:pStyle w:val="65"/>
        <w:spacing w:before="156" w:after="156"/>
      </w:pPr>
      <w:r>
        <w:rPr>
          <w:rFonts w:hint="eastAsia"/>
        </w:rPr>
        <w:t>维护保养和检查</w:t>
      </w:r>
    </w:p>
    <w:p w14:paraId="7D6B0DDE">
      <w:pPr>
        <w:pStyle w:val="164"/>
      </w:pPr>
      <w:r>
        <w:rPr>
          <w:rFonts w:hint="eastAsia"/>
        </w:rPr>
        <w:t>使用单位应对非公路用旅游观光车辆进行经常性维护保养，并对非公路用旅游观光车辆的安全保护和防护装置进行定期校验和检修，维护保养应符合非公路用旅游观光车辆安全技术规范和使用说明书的要求。</w:t>
      </w:r>
    </w:p>
    <w:p w14:paraId="06B5EA24">
      <w:pPr>
        <w:pStyle w:val="164"/>
      </w:pPr>
      <w:r>
        <w:rPr>
          <w:rFonts w:hint="eastAsia"/>
        </w:rPr>
        <w:t>使用单位应对非公路用旅游观光车辆进行定期自行检查，定期自行检查分为月度检查和年度检查，非公路用旅游观光车辆每日投入使用前，应按使用维护说明书的要求进行日常检查。</w:t>
      </w:r>
    </w:p>
    <w:p w14:paraId="245DF4BD">
      <w:pPr>
        <w:pStyle w:val="164"/>
      </w:pPr>
      <w:r>
        <w:rPr>
          <w:rFonts w:hint="eastAsia"/>
        </w:rPr>
        <w:t>使用单位在非公路用旅游观光车辆使用过程中应对非公路用旅游观光车辆进行日常巡检，对维护保养和检查中发现的故障或异常情况应及时处理，消除事故隐患，并且将记录存入安全技术档案。</w:t>
      </w:r>
    </w:p>
    <w:p w14:paraId="5881B680">
      <w:pPr>
        <w:pStyle w:val="65"/>
        <w:spacing w:before="156" w:after="156"/>
      </w:pPr>
      <w:r>
        <w:rPr>
          <w:rFonts w:hint="eastAsia"/>
        </w:rPr>
        <w:t xml:space="preserve">改造、修理                              </w:t>
      </w:r>
    </w:p>
    <w:p w14:paraId="5B57D3A9">
      <w:pPr>
        <w:pStyle w:val="164"/>
      </w:pPr>
      <w:r>
        <w:rPr>
          <w:rFonts w:hint="eastAsia"/>
        </w:rPr>
        <w:t>使用单位应选择具有相应许可资格的单位实施非公路用旅游观光车改造，督促非公路用旅游观光车辆改造单位到特种设备安全监督管理部门办理告知手续，改造后申请首次检验，首次检验合格并且变更使用登记后允许投入使用。</w:t>
      </w:r>
    </w:p>
    <w:p w14:paraId="3442FB2F">
      <w:pPr>
        <w:pStyle w:val="164"/>
      </w:pPr>
      <w:r>
        <w:rPr>
          <w:rFonts w:hint="eastAsia"/>
        </w:rPr>
        <w:t>使用单位应选择具有相应许可资格的单位实施非公路用旅游观光车辆修理，应要求非公路用旅游观光车辆修理单位对修理后的非公路用旅游观光车辆进行自检，并出具自检报告，自检报告应存档。</w:t>
      </w:r>
    </w:p>
    <w:p w14:paraId="12D1183A">
      <w:pPr>
        <w:pStyle w:val="65"/>
        <w:spacing w:before="156" w:after="156"/>
      </w:pPr>
      <w:r>
        <w:rPr>
          <w:rFonts w:hint="eastAsia"/>
        </w:rPr>
        <w:t>检验</w:t>
      </w:r>
    </w:p>
    <w:p w14:paraId="4F7E9AA8">
      <w:pPr>
        <w:pStyle w:val="94"/>
        <w:spacing w:before="156" w:after="156"/>
      </w:pPr>
      <w:r>
        <w:rPr>
          <w:rFonts w:hint="eastAsia"/>
        </w:rPr>
        <w:t>首次检验</w:t>
      </w:r>
    </w:p>
    <w:p w14:paraId="2F0CF961">
      <w:pPr>
        <w:pStyle w:val="56"/>
        <w:ind w:firstLine="420"/>
        <w:rPr>
          <w:color w:val="FF0000"/>
          <w:sz w:val="18"/>
          <w:szCs w:val="18"/>
        </w:rPr>
      </w:pPr>
      <w:r>
        <w:rPr>
          <w:rFonts w:hint="eastAsia"/>
        </w:rPr>
        <w:t xml:space="preserve">非公路用旅游观光车辆使用单位应在新购置或改造后的非公路用旅游观光车辆的投入使用前（或改造后），向特种设备检验机构申请首次检验，并取得特种设备的使用标志和车牌。      </w:t>
      </w:r>
      <w:r>
        <w:rPr>
          <w:rFonts w:hint="eastAsia"/>
          <w:sz w:val="18"/>
          <w:szCs w:val="18"/>
        </w:rPr>
        <w:t xml:space="preserve"> </w:t>
      </w:r>
    </w:p>
    <w:p w14:paraId="7A458637">
      <w:pPr>
        <w:pStyle w:val="94"/>
        <w:spacing w:before="156" w:after="156"/>
      </w:pPr>
      <w:r>
        <w:rPr>
          <w:rFonts w:hint="eastAsia"/>
        </w:rPr>
        <w:t>定期检验</w:t>
      </w:r>
    </w:p>
    <w:p w14:paraId="5EF785DE">
      <w:pPr>
        <w:pStyle w:val="56"/>
        <w:ind w:firstLine="420"/>
        <w:rPr>
          <w:color w:val="FF0000"/>
          <w:sz w:val="18"/>
          <w:szCs w:val="18"/>
        </w:rPr>
      </w:pPr>
      <w:r>
        <w:rPr>
          <w:rFonts w:hint="eastAsia"/>
        </w:rPr>
        <w:t xml:space="preserve">非公路用旅游观光车辆使用单位应按安全技术规范书的规定，在非公路用旅游观光车辆检验合格有效期届满前一个月，向特种设备检验机构申请定期检验。向检验机构提供相关资料和必要的检验条件，对提交的资料真实性负责。                       </w:t>
      </w:r>
    </w:p>
    <w:p w14:paraId="7FDEE2A9">
      <w:pPr>
        <w:pStyle w:val="65"/>
        <w:spacing w:before="156" w:after="156"/>
      </w:pPr>
      <w:r>
        <w:rPr>
          <w:rFonts w:hint="eastAsia"/>
        </w:rPr>
        <w:t>使用登记</w:t>
      </w:r>
    </w:p>
    <w:p w14:paraId="2D4CF635">
      <w:pPr>
        <w:pStyle w:val="164"/>
      </w:pPr>
      <w:r>
        <w:rPr>
          <w:rFonts w:hint="eastAsia"/>
        </w:rPr>
        <w:t>使用单位应在非公路用旅游观光车辆投入使用前或者投入使用后三十日内，向负责特种设备安全监督管理的部门申请办理使用登记，取得使用登记证。</w:t>
      </w:r>
    </w:p>
    <w:p w14:paraId="14397847">
      <w:pPr>
        <w:pStyle w:val="164"/>
      </w:pPr>
      <w:r>
        <w:rPr>
          <w:rFonts w:hint="eastAsia"/>
        </w:rPr>
        <w:t>非公路用旅游观光车辆跨原登记机关行政区域使用时，使用单位或非公路用旅游观光车辆产权单位应在投入使用前告知设备所地负责特种设备安全监督管理部门，并接受其监督检查。</w:t>
      </w:r>
    </w:p>
    <w:p w14:paraId="29E2EA0C">
      <w:pPr>
        <w:pStyle w:val="65"/>
        <w:spacing w:before="156" w:after="156"/>
      </w:pPr>
      <w:r>
        <w:rPr>
          <w:rFonts w:hint="eastAsia"/>
        </w:rPr>
        <w:t xml:space="preserve">报废                                    </w:t>
      </w:r>
    </w:p>
    <w:p w14:paraId="4EBB4AAF">
      <w:pPr>
        <w:pStyle w:val="164"/>
        <w:rPr>
          <w:color w:val="FF0000"/>
          <w:sz w:val="18"/>
          <w:szCs w:val="18"/>
        </w:rPr>
      </w:pPr>
      <w:r>
        <w:rPr>
          <w:rFonts w:hint="eastAsia"/>
        </w:rPr>
        <w:t xml:space="preserve">非公路用旅游观光车辆存在严重事故隐患，无改造、修理价值的，或达到安全技术规范规定的其它报废条件的，使用单位应依法履行报废义务，采取必要措施取消其使用功能，并向原负责登记的特种设备安全监督管理部门办理使用登记注销手续。           </w:t>
      </w:r>
    </w:p>
    <w:p w14:paraId="78BFA85F">
      <w:pPr>
        <w:pStyle w:val="164"/>
      </w:pPr>
      <w:r>
        <w:rPr>
          <w:rFonts w:hint="eastAsia"/>
        </w:rPr>
        <w:t>未达报废条件，使用年限达到15年，需要继续使用的，应委托有相应资质的特种设备检验机构进行安全性能评估，采取加强检验、检测和维护保养等措施确保使用安。</w:t>
      </w:r>
    </w:p>
    <w:p w14:paraId="561DF638">
      <w:pPr>
        <w:pStyle w:val="105"/>
        <w:spacing w:before="156" w:after="156"/>
      </w:pPr>
      <w:r>
        <w:rPr>
          <w:rFonts w:hint="eastAsia"/>
        </w:rPr>
        <w:t>作业环境</w:t>
      </w:r>
    </w:p>
    <w:p w14:paraId="56F35DB9">
      <w:pPr>
        <w:pStyle w:val="65"/>
        <w:spacing w:before="156" w:after="156"/>
      </w:pPr>
      <w:r>
        <w:rPr>
          <w:rFonts w:hint="eastAsia"/>
        </w:rPr>
        <w:t>运行路线</w:t>
      </w:r>
    </w:p>
    <w:p w14:paraId="031A0320">
      <w:pPr>
        <w:pStyle w:val="164"/>
        <w:rPr>
          <w:szCs w:val="21"/>
        </w:rPr>
      </w:pPr>
      <w:r>
        <w:rPr>
          <w:rFonts w:hint="eastAsia"/>
        </w:rPr>
        <w:t xml:space="preserve">使用单位对非公路用旅游观光车辆行驶路线安全负责，应当制定车辆运营时的行驶路线图，并且按照路线图在行驶路线上设置醒目的行驶路线标志，明确行驶速度等安全要求。行驶路线图在乘客固定的上下车位置明确标识。                           </w:t>
      </w:r>
    </w:p>
    <w:p w14:paraId="450FDA5B">
      <w:pPr>
        <w:pStyle w:val="164"/>
        <w:rPr>
          <w:color w:val="000000"/>
        </w:rPr>
      </w:pPr>
      <w:r>
        <w:rPr>
          <w:rFonts w:hint="eastAsia"/>
          <w:color w:val="000000"/>
        </w:rPr>
        <w:t>非公路用旅游观光车辆的行驶路线应为平坦坚实的硬化路面。</w:t>
      </w:r>
    </w:p>
    <w:p w14:paraId="3CFC44D1">
      <w:pPr>
        <w:pStyle w:val="164"/>
        <w:rPr>
          <w:color w:val="000000"/>
        </w:rPr>
      </w:pPr>
      <w:r>
        <w:rPr>
          <w:rFonts w:hint="eastAsia"/>
          <w:color w:val="000000"/>
        </w:rPr>
        <w:t>非公路用旅游观光车辆的路线中任意连续20m路段的平均坡度不应超过最大行驶坡度。</w:t>
      </w:r>
    </w:p>
    <w:p w14:paraId="279FB54B">
      <w:pPr>
        <w:pStyle w:val="164"/>
        <w:rPr>
          <w:color w:val="000000"/>
        </w:rPr>
      </w:pPr>
      <w:r>
        <w:rPr>
          <w:rFonts w:hint="eastAsia"/>
          <w:color w:val="000000"/>
        </w:rPr>
        <w:t xml:space="preserve">非公路用旅游观光车辆的行驶路线中不得存在爆炸性环境，路面边沿3m（弯道处4 .5m ）內有悬崖、深谷、深沟或水域的路段应当设置防护能力与车辆相匹配的路侧护栏。存在陡坡、连续下坡、急弯、窄道、交岔口等特殊情况的路段，使用单位应当评估风险，根据需要设置相应的标志、标线、避险车道、减速丘、凸面镜等安全设施，或者采取限速、分流等管理措施。         </w:t>
      </w:r>
    </w:p>
    <w:p w14:paraId="118CBB7D">
      <w:pPr>
        <w:pStyle w:val="164"/>
        <w:rPr>
          <w:color w:val="000000"/>
        </w:rPr>
      </w:pPr>
      <w:r>
        <w:rPr>
          <w:rFonts w:hint="eastAsia"/>
          <w:color w:val="000000"/>
        </w:rPr>
        <w:t>非公路用旅游观光列车辆的道路使用条件应满足司机在正常驾驶位置时，可通过后视镜 观察到任意一节车厢的运行情况。</w:t>
      </w:r>
    </w:p>
    <w:p w14:paraId="760563CF">
      <w:pPr>
        <w:pStyle w:val="65"/>
        <w:spacing w:before="156" w:after="156"/>
      </w:pPr>
      <w:r>
        <w:rPr>
          <w:rFonts w:hint="eastAsia"/>
        </w:rPr>
        <w:t>安全标志</w:t>
      </w:r>
    </w:p>
    <w:p w14:paraId="26560D5A">
      <w:pPr>
        <w:pStyle w:val="56"/>
        <w:ind w:firstLine="420"/>
      </w:pPr>
      <w:r>
        <w:rPr>
          <w:rFonts w:hint="eastAsia"/>
        </w:rPr>
        <w:t>非公路用旅游观光车辆使用单位应根据本单位的作业环境设置相应的安全标志，安全标志分为警告标志、禁止标志和指示标志，安全标志的设置应符合GB5768.1、GB5768.2和GB/T2893.5的规定。</w:t>
      </w:r>
    </w:p>
    <w:p w14:paraId="42792729">
      <w:pPr>
        <w:pStyle w:val="104"/>
        <w:spacing w:before="312" w:after="312"/>
      </w:pPr>
      <w:r>
        <w:rPr>
          <w:rFonts w:hint="eastAsia"/>
        </w:rPr>
        <w:t>应急管理</w:t>
      </w:r>
    </w:p>
    <w:p w14:paraId="44893CF1">
      <w:pPr>
        <w:pStyle w:val="105"/>
        <w:spacing w:before="156" w:after="156"/>
      </w:pPr>
      <w:r>
        <w:rPr>
          <w:rFonts w:hint="eastAsia"/>
        </w:rPr>
        <w:t>应急预案</w:t>
      </w:r>
    </w:p>
    <w:p w14:paraId="55684C58">
      <w:pPr>
        <w:pStyle w:val="165"/>
        <w:rPr>
          <w:color w:val="FF0000"/>
          <w:sz w:val="18"/>
          <w:szCs w:val="18"/>
        </w:rPr>
      </w:pPr>
      <w:r>
        <w:rPr>
          <w:rFonts w:hint="eastAsia"/>
        </w:rPr>
        <w:t xml:space="preserve">已设置特种设备安全管理机构和配备专职安全管理员的非公路用旅游观光车辆使用单位，应制定非公路用旅游观光车辆事故应急专项预案，其它使用单位应在综合应急预案中编制非公路用旅游观光车辆事故应急的内容。                    </w:t>
      </w:r>
    </w:p>
    <w:p w14:paraId="3252B4E7">
      <w:pPr>
        <w:pStyle w:val="165"/>
        <w:rPr>
          <w:color w:val="FF0000"/>
          <w:sz w:val="18"/>
          <w:szCs w:val="18"/>
        </w:rPr>
      </w:pPr>
      <w:r>
        <w:rPr>
          <w:rFonts w:hint="eastAsia"/>
        </w:rPr>
        <w:t>使用单位可根据本单位能力和工作需要，建立应急救援队伍，配置应急救援装备。救援力量薄弱的单位，可与专业救援单位建立长期合作机制。</w:t>
      </w:r>
    </w:p>
    <w:p w14:paraId="55B3D4B4">
      <w:pPr>
        <w:pStyle w:val="165"/>
        <w:rPr>
          <w:sz w:val="18"/>
          <w:szCs w:val="18"/>
        </w:rPr>
      </w:pPr>
      <w:r>
        <w:rPr>
          <w:rFonts w:hint="eastAsia"/>
        </w:rPr>
        <w:t xml:space="preserve">做好包括事故现场指挥、警戒保卫、抢险救援、医疗救护、后勤保障、善后处理等分工。                  </w:t>
      </w:r>
    </w:p>
    <w:p w14:paraId="49CD589C">
      <w:pPr>
        <w:pStyle w:val="105"/>
        <w:spacing w:before="156" w:after="156"/>
      </w:pPr>
      <w:r>
        <w:rPr>
          <w:rFonts w:hint="eastAsia"/>
        </w:rPr>
        <w:t>应急演练</w:t>
      </w:r>
    </w:p>
    <w:p w14:paraId="2782BE28">
      <w:pPr>
        <w:pStyle w:val="165"/>
        <w:rPr>
          <w:color w:val="FF0000"/>
        </w:rPr>
      </w:pPr>
      <w:r>
        <w:rPr>
          <w:rFonts w:hint="eastAsia"/>
        </w:rPr>
        <w:t xml:space="preserve">使用单位应制订非公路用旅游观光车辆事故应急救援演练计划，已经设置特种设备安全管理机构和配备专职安全管理员的非公路用旅游观光车辆使用单位，每年至少组织一次应急演练，其它使用单位根据实际情况适时开展应急演练。               </w:t>
      </w:r>
    </w:p>
    <w:p w14:paraId="09D6031C">
      <w:pPr>
        <w:pStyle w:val="165"/>
      </w:pPr>
      <w:r>
        <w:rPr>
          <w:rFonts w:hint="eastAsia"/>
        </w:rPr>
        <w:t>应急演练全过程要做好记录，记录内容应包括时间、演练内容、负责人、参加人、事故类型、存在问题和整改措施等，并不断改进应急救援预案。</w:t>
      </w:r>
    </w:p>
    <w:p w14:paraId="16F46BD4">
      <w:pPr>
        <w:pStyle w:val="165"/>
        <w:rPr>
          <w:sz w:val="18"/>
          <w:szCs w:val="18"/>
        </w:rPr>
      </w:pPr>
      <w:r>
        <w:rPr>
          <w:rFonts w:hint="eastAsia"/>
        </w:rPr>
        <w:t xml:space="preserve">应急演练的内容至少包括：交通事故、自然灾害、治安事件以及其它突发事件等。                         </w:t>
      </w:r>
    </w:p>
    <w:p w14:paraId="21C04C40">
      <w:pPr>
        <w:pStyle w:val="104"/>
        <w:spacing w:before="312" w:after="312"/>
      </w:pPr>
      <w:r>
        <w:rPr>
          <w:rFonts w:hint="eastAsia"/>
        </w:rPr>
        <w:t>事故报告及处理</w:t>
      </w:r>
    </w:p>
    <w:p w14:paraId="6AA5E581">
      <w:pPr>
        <w:pStyle w:val="105"/>
        <w:spacing w:before="156" w:after="156"/>
      </w:pPr>
      <w:r>
        <w:rPr>
          <w:rFonts w:hint="eastAsia"/>
        </w:rPr>
        <w:t>事故报告</w:t>
      </w:r>
    </w:p>
    <w:p w14:paraId="66A51487">
      <w:pPr>
        <w:pStyle w:val="56"/>
        <w:ind w:firstLine="420"/>
      </w:pPr>
      <w:r>
        <w:rPr>
          <w:rFonts w:hint="eastAsia"/>
        </w:rPr>
        <w:t xml:space="preserve">非公路用旅游观光车辆发生事故后，发生事的使用单位，应根据应急预案，立即采取措施，积极组织施救，防止事故扩大，减少人员伤亡和财产损失，保护事故现场和有关证据，并及时向事故发生地县级以上特种设备安全监督管理部门和有关部门报告，不得迟报、谎报或瞒报事故情况。                </w:t>
      </w:r>
    </w:p>
    <w:p w14:paraId="47878CDD">
      <w:pPr>
        <w:pStyle w:val="105"/>
        <w:spacing w:before="156" w:after="156"/>
      </w:pPr>
      <w:r>
        <w:rPr>
          <w:rFonts w:hint="eastAsia"/>
        </w:rPr>
        <w:t>事故处理</w:t>
      </w:r>
    </w:p>
    <w:p w14:paraId="6F1F217C">
      <w:pPr>
        <w:pStyle w:val="165"/>
        <w:rPr>
          <w:color w:val="FF0000"/>
          <w:sz w:val="18"/>
          <w:szCs w:val="18"/>
        </w:rPr>
      </w:pPr>
      <w:r>
        <w:rPr>
          <w:rFonts w:hint="eastAsia"/>
        </w:rPr>
        <w:t xml:space="preserve">发生事故后，事故发生单位及相关人员应妥善保护事故现场以及相关证据，及时收集整理资料，配合事故调查处理；必要时应对设备、场地、资料进行封存，由专人看管。          </w:t>
      </w:r>
    </w:p>
    <w:p w14:paraId="7A473941">
      <w:pPr>
        <w:pStyle w:val="165"/>
      </w:pPr>
      <w:r>
        <w:rPr>
          <w:rFonts w:hint="eastAsia"/>
        </w:rPr>
        <w:t>事故调查期间，任何单位和个人不应擅自移动事故相关设备，不应毁灭相关资料，不应隐匿、毁灭有关证据或故意破坏事故现场。</w:t>
      </w:r>
    </w:p>
    <w:p w14:paraId="04E0E125">
      <w:pPr>
        <w:pStyle w:val="165"/>
      </w:pPr>
      <w:r>
        <w:rPr>
          <w:rFonts w:hint="eastAsia"/>
        </w:rPr>
        <w:t>事故发生单位应依法落实整改措施，预防同类事故发生。事故造成损害的，事故责任单位应承担赔偿责任</w:t>
      </w:r>
      <w:bookmarkEnd w:id="19"/>
      <w:r>
        <w:rPr>
          <w:rFonts w:hint="eastAsia"/>
        </w:rPr>
        <w:t>。</w:t>
      </w:r>
    </w:p>
    <w:p w14:paraId="5EAB935F">
      <w:pPr>
        <w:pStyle w:val="165"/>
        <w:numPr>
          <w:ilvl w:val="0"/>
          <w:numId w:val="0"/>
        </w:numPr>
        <w:jc w:val="center"/>
      </w:pPr>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6E5C81">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D6264">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2078B7">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D5BBF0">
    <w:pPr>
      <w:pStyle w:val="52"/>
    </w:pPr>
    <w:r>
      <w:fldChar w:fldCharType="begin"/>
    </w:r>
    <w:r>
      <w:instrText xml:space="preserve">PAGE   \* MERGEFORMAT</w:instrText>
    </w:r>
    <w:r>
      <w:fldChar w:fldCharType="separate"/>
    </w:r>
    <w:r>
      <w:rPr>
        <w:lang w:val="zh-CN"/>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6F1350">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F48CD">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29361D">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F1C0BF">
    <w:pPr>
      <w:pStyle w:val="61"/>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D789B2">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color w:val="000000" w:themeColor="text1"/>
        <w:sz w:val="21"/>
        <w14:textFill>
          <w14:solidFill>
            <w14:schemeClr w14:val="tx1"/>
          </w14:solidFill>
        </w14:textFill>
      </w:rPr>
    </w:lvl>
    <w:lvl w:ilvl="4" w:tentative="0">
      <w:start w:val="1"/>
      <w:numFmt w:val="decimal"/>
      <w:pStyle w:val="94"/>
      <w:suff w:val="nothing"/>
      <w:lvlText w:val="%1%2.%3.%4.%5　"/>
      <w:lvlJc w:val="left"/>
      <w:pPr>
        <w:ind w:left="709" w:firstLine="0"/>
      </w:pPr>
      <w:rPr>
        <w:rFonts w:hint="eastAsia" w:ascii="黑体" w:eastAsia="黑体"/>
        <w:b w:val="0"/>
        <w:i w:val="0"/>
        <w:color w:val="auto"/>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wNzg4ZmI4MzkxNmQ3MzgzZDNlMmFlNzRjM2I3ZWYifQ=="/>
  </w:docVars>
  <w:rsids>
    <w:rsidRoot w:val="00FD2AEB"/>
    <w:rsid w:val="0000040A"/>
    <w:rsid w:val="00000A94"/>
    <w:rsid w:val="00001972"/>
    <w:rsid w:val="00001D9A"/>
    <w:rsid w:val="00007B3A"/>
    <w:rsid w:val="000107E0"/>
    <w:rsid w:val="00011FDE"/>
    <w:rsid w:val="00012FFD"/>
    <w:rsid w:val="00014162"/>
    <w:rsid w:val="00014340"/>
    <w:rsid w:val="00014A99"/>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397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46"/>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EB4"/>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3069"/>
    <w:rsid w:val="001C374D"/>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0730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170C"/>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C2"/>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30F8"/>
    <w:rsid w:val="002D3814"/>
    <w:rsid w:val="002D42B5"/>
    <w:rsid w:val="002D4F1A"/>
    <w:rsid w:val="002D6EC6"/>
    <w:rsid w:val="002D79AC"/>
    <w:rsid w:val="002E039D"/>
    <w:rsid w:val="002E08F9"/>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5B4"/>
    <w:rsid w:val="003D262C"/>
    <w:rsid w:val="003D6D61"/>
    <w:rsid w:val="003D79C6"/>
    <w:rsid w:val="003E091D"/>
    <w:rsid w:val="003E1C53"/>
    <w:rsid w:val="003E2A69"/>
    <w:rsid w:val="003E2D49"/>
    <w:rsid w:val="003E2FD4"/>
    <w:rsid w:val="003E49F6"/>
    <w:rsid w:val="003E660F"/>
    <w:rsid w:val="003F0841"/>
    <w:rsid w:val="003F1AF3"/>
    <w:rsid w:val="003F23D3"/>
    <w:rsid w:val="003F3F08"/>
    <w:rsid w:val="003F49F1"/>
    <w:rsid w:val="003F6272"/>
    <w:rsid w:val="00400E72"/>
    <w:rsid w:val="00401400"/>
    <w:rsid w:val="00403D2F"/>
    <w:rsid w:val="00404869"/>
    <w:rsid w:val="00405884"/>
    <w:rsid w:val="00407D39"/>
    <w:rsid w:val="0041477A"/>
    <w:rsid w:val="004167A3"/>
    <w:rsid w:val="00424A5C"/>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716C"/>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0051"/>
    <w:rsid w:val="004F391A"/>
    <w:rsid w:val="004F3CFB"/>
    <w:rsid w:val="004F6456"/>
    <w:rsid w:val="004F696E"/>
    <w:rsid w:val="004F6C71"/>
    <w:rsid w:val="00501139"/>
    <w:rsid w:val="0050363E"/>
    <w:rsid w:val="005039BC"/>
    <w:rsid w:val="005043BB"/>
    <w:rsid w:val="00504A3D"/>
    <w:rsid w:val="00505767"/>
    <w:rsid w:val="005073F0"/>
    <w:rsid w:val="00507969"/>
    <w:rsid w:val="00510A7B"/>
    <w:rsid w:val="00512F6E"/>
    <w:rsid w:val="00513038"/>
    <w:rsid w:val="00514174"/>
    <w:rsid w:val="00516088"/>
    <w:rsid w:val="00516B0B"/>
    <w:rsid w:val="0052138C"/>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2433"/>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3FCC"/>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AA1"/>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0C25"/>
    <w:rsid w:val="006E23EA"/>
    <w:rsid w:val="006E3ECE"/>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8AF"/>
    <w:rsid w:val="00724E1B"/>
    <w:rsid w:val="00725904"/>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5937"/>
    <w:rsid w:val="00756B26"/>
    <w:rsid w:val="00756EDF"/>
    <w:rsid w:val="007600E3"/>
    <w:rsid w:val="0076318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96006"/>
    <w:rsid w:val="007A0521"/>
    <w:rsid w:val="007A21C2"/>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4FBA"/>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16D1"/>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0D18"/>
    <w:rsid w:val="008C1797"/>
    <w:rsid w:val="008C219C"/>
    <w:rsid w:val="008C475E"/>
    <w:rsid w:val="008C619A"/>
    <w:rsid w:val="008D0CE8"/>
    <w:rsid w:val="008D2D1D"/>
    <w:rsid w:val="008D453D"/>
    <w:rsid w:val="008D53AD"/>
    <w:rsid w:val="008D54D2"/>
    <w:rsid w:val="008D562B"/>
    <w:rsid w:val="008D5733"/>
    <w:rsid w:val="008D622B"/>
    <w:rsid w:val="008D666C"/>
    <w:rsid w:val="008D7B54"/>
    <w:rsid w:val="008E0108"/>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1497"/>
    <w:rsid w:val="00902722"/>
    <w:rsid w:val="009027BC"/>
    <w:rsid w:val="00902855"/>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532D"/>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1B7"/>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C6F38"/>
    <w:rsid w:val="00AD0AEF"/>
    <w:rsid w:val="00AD11B7"/>
    <w:rsid w:val="00AD1A94"/>
    <w:rsid w:val="00AD1C05"/>
    <w:rsid w:val="00AD4126"/>
    <w:rsid w:val="00AD421C"/>
    <w:rsid w:val="00AD44FA"/>
    <w:rsid w:val="00AE070A"/>
    <w:rsid w:val="00AE101C"/>
    <w:rsid w:val="00AE37E5"/>
    <w:rsid w:val="00AE5EB4"/>
    <w:rsid w:val="00AF0C18"/>
    <w:rsid w:val="00AF47C5"/>
    <w:rsid w:val="00AF5398"/>
    <w:rsid w:val="00AF5A04"/>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1E8"/>
    <w:rsid w:val="00B54ABC"/>
    <w:rsid w:val="00B54DDE"/>
    <w:rsid w:val="00B56FBE"/>
    <w:rsid w:val="00B57DDF"/>
    <w:rsid w:val="00B60ACF"/>
    <w:rsid w:val="00B62B58"/>
    <w:rsid w:val="00B65149"/>
    <w:rsid w:val="00B66567"/>
    <w:rsid w:val="00B66F52"/>
    <w:rsid w:val="00B66FE5"/>
    <w:rsid w:val="00B70F9A"/>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5526"/>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67A0A"/>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3766"/>
    <w:rsid w:val="00DC5B90"/>
    <w:rsid w:val="00DD00FF"/>
    <w:rsid w:val="00DD0619"/>
    <w:rsid w:val="00DD07FB"/>
    <w:rsid w:val="00DD25C6"/>
    <w:rsid w:val="00DD4FE5"/>
    <w:rsid w:val="00DD54B0"/>
    <w:rsid w:val="00DD57EE"/>
    <w:rsid w:val="00DD6BCC"/>
    <w:rsid w:val="00DE0A4B"/>
    <w:rsid w:val="00DE2410"/>
    <w:rsid w:val="00DE2939"/>
    <w:rsid w:val="00DE447D"/>
    <w:rsid w:val="00DE6E81"/>
    <w:rsid w:val="00DE703F"/>
    <w:rsid w:val="00DE7595"/>
    <w:rsid w:val="00DF06E9"/>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2C8"/>
    <w:rsid w:val="00E969D5"/>
    <w:rsid w:val="00EA58D1"/>
    <w:rsid w:val="00EA61BC"/>
    <w:rsid w:val="00EA681A"/>
    <w:rsid w:val="00EA735B"/>
    <w:rsid w:val="00EB17DE"/>
    <w:rsid w:val="00EB1E69"/>
    <w:rsid w:val="00EB2086"/>
    <w:rsid w:val="00EB5EDF"/>
    <w:rsid w:val="00EB60FE"/>
    <w:rsid w:val="00EB74DB"/>
    <w:rsid w:val="00EC5359"/>
    <w:rsid w:val="00EC562A"/>
    <w:rsid w:val="00ED0562"/>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1E3D"/>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00"/>
    <w:rsid w:val="00F966CF"/>
    <w:rsid w:val="00F96CAE"/>
    <w:rsid w:val="00F97C99"/>
    <w:rsid w:val="00FA4DAC"/>
    <w:rsid w:val="00FA662D"/>
    <w:rsid w:val="00FA73B1"/>
    <w:rsid w:val="00FB0CB9"/>
    <w:rsid w:val="00FB231D"/>
    <w:rsid w:val="00FB45F1"/>
    <w:rsid w:val="00FB4A72"/>
    <w:rsid w:val="00FB54E8"/>
    <w:rsid w:val="00FB7054"/>
    <w:rsid w:val="00FC03C5"/>
    <w:rsid w:val="00FC17B7"/>
    <w:rsid w:val="00FC2CB7"/>
    <w:rsid w:val="00FC4090"/>
    <w:rsid w:val="00FC55B4"/>
    <w:rsid w:val="00FD00E6"/>
    <w:rsid w:val="00FD09A1"/>
    <w:rsid w:val="00FD1DAE"/>
    <w:rsid w:val="00FD2A7C"/>
    <w:rsid w:val="00FD2AEB"/>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032F18"/>
    <w:rsid w:val="35895D8F"/>
    <w:rsid w:val="377D083B"/>
    <w:rsid w:val="48B643A0"/>
    <w:rsid w:val="4ADE7127"/>
    <w:rsid w:val="4F9515CD"/>
    <w:rsid w:val="6F5416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autoRedefine/>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autoRedefine/>
    <w:qFormat/>
    <w:uiPriority w:val="22"/>
    <w:rPr>
      <w:b/>
      <w:bCs/>
    </w:rPr>
  </w:style>
  <w:style w:type="character" w:styleId="30">
    <w:name w:val="page number"/>
    <w:autoRedefine/>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1 Char"/>
    <w:link w:val="2"/>
    <w:autoRedefine/>
    <w:qFormat/>
    <w:uiPriority w:val="0"/>
    <w:rPr>
      <w:b/>
      <w:bCs/>
      <w:kern w:val="44"/>
      <w:sz w:val="44"/>
      <w:szCs w:val="44"/>
    </w:rPr>
  </w:style>
  <w:style w:type="character" w:customStyle="1" w:styleId="35">
    <w:name w:val="标题 2 Char"/>
    <w:link w:val="3"/>
    <w:autoRedefine/>
    <w:qFormat/>
    <w:uiPriority w:val="0"/>
    <w:rPr>
      <w:rFonts w:ascii="Arial" w:hAnsi="Arial" w:eastAsia="黑体"/>
      <w:b/>
      <w:bCs/>
      <w:kern w:val="2"/>
      <w:sz w:val="32"/>
      <w:szCs w:val="32"/>
    </w:rPr>
  </w:style>
  <w:style w:type="character" w:customStyle="1" w:styleId="36">
    <w:name w:val="标题 3 Char"/>
    <w:link w:val="4"/>
    <w:autoRedefine/>
    <w:qFormat/>
    <w:uiPriority w:val="0"/>
    <w:rPr>
      <w:b/>
      <w:bCs/>
      <w:kern w:val="2"/>
      <w:sz w:val="32"/>
      <w:szCs w:val="32"/>
    </w:rPr>
  </w:style>
  <w:style w:type="character" w:customStyle="1" w:styleId="37">
    <w:name w:val="标题 4 Char"/>
    <w:link w:val="5"/>
    <w:autoRedefine/>
    <w:qFormat/>
    <w:uiPriority w:val="0"/>
    <w:rPr>
      <w:rFonts w:ascii="Arial" w:hAnsi="Arial" w:eastAsia="黑体"/>
      <w:b/>
      <w:bCs/>
      <w:kern w:val="2"/>
      <w:sz w:val="28"/>
      <w:szCs w:val="28"/>
    </w:rPr>
  </w:style>
  <w:style w:type="character" w:customStyle="1" w:styleId="38">
    <w:name w:val="标题 5 Char"/>
    <w:link w:val="6"/>
    <w:autoRedefine/>
    <w:qFormat/>
    <w:uiPriority w:val="0"/>
    <w:rPr>
      <w:b/>
      <w:bCs/>
      <w:kern w:val="2"/>
      <w:sz w:val="28"/>
      <w:szCs w:val="28"/>
    </w:rPr>
  </w:style>
  <w:style w:type="character" w:customStyle="1" w:styleId="39">
    <w:name w:val="标题 6 Char"/>
    <w:link w:val="7"/>
    <w:autoRedefine/>
    <w:qFormat/>
    <w:uiPriority w:val="0"/>
    <w:rPr>
      <w:rFonts w:ascii="Arial" w:hAnsi="Arial" w:eastAsia="黑体"/>
      <w:b/>
      <w:bCs/>
      <w:kern w:val="2"/>
      <w:sz w:val="24"/>
      <w:szCs w:val="24"/>
    </w:rPr>
  </w:style>
  <w:style w:type="character" w:customStyle="1" w:styleId="40">
    <w:name w:val="标题 7 Char"/>
    <w:link w:val="8"/>
    <w:autoRedefine/>
    <w:qFormat/>
    <w:uiPriority w:val="0"/>
    <w:rPr>
      <w:b/>
      <w:bCs/>
      <w:kern w:val="2"/>
      <w:sz w:val="24"/>
      <w:szCs w:val="24"/>
    </w:rPr>
  </w:style>
  <w:style w:type="character" w:customStyle="1" w:styleId="41">
    <w:name w:val="标题 8 Char"/>
    <w:link w:val="9"/>
    <w:autoRedefine/>
    <w:qFormat/>
    <w:uiPriority w:val="0"/>
    <w:rPr>
      <w:rFonts w:ascii="Arial" w:hAnsi="Arial" w:eastAsia="黑体"/>
      <w:kern w:val="2"/>
      <w:sz w:val="24"/>
      <w:szCs w:val="24"/>
    </w:rPr>
  </w:style>
  <w:style w:type="character" w:customStyle="1" w:styleId="42">
    <w:name w:val="标题 9 Char"/>
    <w:link w:val="10"/>
    <w:autoRedefine/>
    <w:qFormat/>
    <w:uiPriority w:val="0"/>
    <w:rPr>
      <w:rFonts w:ascii="Arial" w:hAnsi="Arial" w:eastAsia="黑体"/>
      <w:kern w:val="2"/>
      <w:sz w:val="21"/>
      <w:szCs w:val="21"/>
    </w:rPr>
  </w:style>
  <w:style w:type="character" w:customStyle="1" w:styleId="43">
    <w:name w:val="页眉 Char"/>
    <w:link w:val="18"/>
    <w:autoRedefine/>
    <w:qFormat/>
    <w:uiPriority w:val="99"/>
    <w:rPr>
      <w:kern w:val="2"/>
      <w:sz w:val="18"/>
      <w:szCs w:val="18"/>
    </w:rPr>
  </w:style>
  <w:style w:type="character" w:customStyle="1" w:styleId="44">
    <w:name w:val="页脚 Char"/>
    <w:link w:val="17"/>
    <w:autoRedefine/>
    <w:qFormat/>
    <w:uiPriority w:val="99"/>
    <w:rPr>
      <w:rFonts w:ascii="宋体"/>
      <w:kern w:val="2"/>
      <w:sz w:val="18"/>
      <w:szCs w:val="18"/>
    </w:rPr>
  </w:style>
  <w:style w:type="character" w:customStyle="1" w:styleId="45">
    <w:name w:val="批注框文本 Char"/>
    <w:link w:val="16"/>
    <w:autoRedefine/>
    <w:semiHidden/>
    <w:qFormat/>
    <w:uiPriority w:val="99"/>
    <w:rPr>
      <w:kern w:val="2"/>
      <w:sz w:val="18"/>
      <w:szCs w:val="18"/>
    </w:rPr>
  </w:style>
  <w:style w:type="paragraph" w:styleId="46">
    <w:name w:val="Quote"/>
    <w:basedOn w:val="1"/>
    <w:next w:val="1"/>
    <w:link w:val="47"/>
    <w:autoRedefine/>
    <w:qFormat/>
    <w:uiPriority w:val="29"/>
    <w:rPr>
      <w:i/>
      <w:iCs/>
      <w:color w:val="000000"/>
    </w:rPr>
  </w:style>
  <w:style w:type="character" w:customStyle="1" w:styleId="47">
    <w:name w:val="引用 Char"/>
    <w:link w:val="46"/>
    <w:autoRedefine/>
    <w:qFormat/>
    <w:uiPriority w:val="29"/>
    <w:rPr>
      <w:i/>
      <w:iCs/>
      <w:color w:val="000000"/>
      <w:kern w:val="2"/>
      <w:sz w:val="21"/>
      <w:szCs w:val="21"/>
    </w:rPr>
  </w:style>
  <w:style w:type="character" w:customStyle="1" w:styleId="48">
    <w:name w:val="标题 Char"/>
    <w:link w:val="25"/>
    <w:autoRedefine/>
    <w:qFormat/>
    <w:uiPriority w:val="0"/>
    <w:rPr>
      <w:rFonts w:ascii="Arial" w:hAnsi="Arial" w:cs="Arial"/>
      <w:b/>
      <w:bCs/>
      <w:kern w:val="2"/>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autoRedefine/>
    <w:qFormat/>
    <w:uiPriority w:val="0"/>
    <w:pPr>
      <w:snapToGrid w:val="0"/>
      <w:ind w:firstLine="200" w:firstLineChars="200"/>
    </w:pPr>
    <w:rPr>
      <w:kern w:val="0"/>
    </w:rPr>
  </w:style>
  <w:style w:type="paragraph" w:customStyle="1" w:styleId="56">
    <w:name w:val="标准文件_段"/>
    <w:link w:val="18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autoRedefine/>
    <w:qFormat/>
    <w:uiPriority w:val="0"/>
    <w:pPr>
      <w:spacing w:line="310" w:lineRule="exact"/>
      <w:jc w:val="right"/>
    </w:pPr>
    <w:rPr>
      <w:rFonts w:ascii="宋体" w:hAnsi="宋体"/>
      <w:kern w:val="0"/>
    </w:rPr>
  </w:style>
  <w:style w:type="paragraph" w:customStyle="1" w:styleId="60">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autoRedefine/>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autoRedefine/>
    <w:qFormat/>
    <w:uiPriority w:val="0"/>
    <w:rPr>
      <w:rFonts w:ascii="黑体" w:eastAsia="黑体"/>
      <w:b/>
      <w:kern w:val="0"/>
      <w:sz w:val="28"/>
    </w:rPr>
  </w:style>
  <w:style w:type="paragraph" w:customStyle="1" w:styleId="70">
    <w:name w:val="标准文件_封面标准名称"/>
    <w:basedOn w:val="1"/>
    <w:autoRedefine/>
    <w:qFormat/>
    <w:uiPriority w:val="0"/>
    <w:pPr>
      <w:spacing w:line="240" w:lineRule="auto"/>
      <w:jc w:val="center"/>
    </w:pPr>
    <w:rPr>
      <w:rFonts w:ascii="黑体" w:eastAsia="黑体"/>
      <w:kern w:val="0"/>
      <w:sz w:val="52"/>
    </w:rPr>
  </w:style>
  <w:style w:type="paragraph" w:customStyle="1" w:styleId="71">
    <w:name w:val="标准文件_封面标准英文名称"/>
    <w:basedOn w:val="1"/>
    <w:autoRedefine/>
    <w:qFormat/>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autoRedefine/>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ind w:left="0"/>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autoRedefine/>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autoRedefine/>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autoRedefine/>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autoRedefine/>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autoRedefine/>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autoRedefine/>
    <w:qFormat/>
    <w:uiPriority w:val="0"/>
    <w:pPr>
      <w:ind w:left="811" w:firstLine="0" w:firstLineChars="0"/>
    </w:pPr>
    <w:rPr>
      <w:sz w:val="18"/>
    </w:rPr>
  </w:style>
  <w:style w:type="paragraph" w:customStyle="1" w:styleId="206">
    <w:name w:val="标准文件_注X后"/>
    <w:basedOn w:val="56"/>
    <w:autoRedefine/>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autoRedefine/>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5A977575371B46D798265058F8697AAF"/>
        <w:style w:val=""/>
        <w:category>
          <w:name w:val="常规"/>
          <w:gallery w:val="placeholder"/>
        </w:category>
        <w:types>
          <w:type w:val="bbPlcHdr"/>
        </w:types>
        <w:behaviors>
          <w:behavior w:val="content"/>
        </w:behaviors>
        <w:description w:val=""/>
        <w:guid w:val="{F11C1057-0264-4A67-B95A-B477F66EC3AE}"/>
      </w:docPartPr>
      <w:docPartBody>
        <w:p w14:paraId="4A9AA793">
          <w:pPr>
            <w:pStyle w:val="5"/>
          </w:pPr>
          <w:r>
            <w:rPr>
              <w:rStyle w:val="4"/>
              <w:rFonts w:hint="eastAsia"/>
            </w:rPr>
            <w:t>单击或点击此处输入文字。</w:t>
          </w:r>
        </w:p>
      </w:docPartBody>
    </w:docPart>
    <w:docPart>
      <w:docPartPr>
        <w:name w:val="A6B99CC7C37C446AAFFAEF1DF3620C92"/>
        <w:style w:val=""/>
        <w:category>
          <w:name w:val="常规"/>
          <w:gallery w:val="placeholder"/>
        </w:category>
        <w:types>
          <w:type w:val="bbPlcHdr"/>
        </w:types>
        <w:behaviors>
          <w:behavior w:val="content"/>
        </w:behaviors>
        <w:description w:val=""/>
        <w:guid w:val="{06C0DDBD-F312-47A1-A24C-8F1E5475E7B6}"/>
      </w:docPartPr>
      <w:docPartBody>
        <w:p w14:paraId="791FA743">
          <w:pPr>
            <w:pStyle w:val="6"/>
          </w:pPr>
          <w:r>
            <w:rPr>
              <w:rStyle w:val="4"/>
              <w:rFonts w:hint="eastAsia"/>
            </w:rPr>
            <w:t>选择一项。</w:t>
          </w:r>
        </w:p>
      </w:docPartBody>
    </w:docPart>
    <w:docPart>
      <w:docPartPr>
        <w:name w:val="FC397904A02B48C1B095E131EDFE1C67"/>
        <w:style w:val=""/>
        <w:category>
          <w:name w:val="常规"/>
          <w:gallery w:val="placeholder"/>
        </w:category>
        <w:types>
          <w:type w:val="bbPlcHdr"/>
        </w:types>
        <w:behaviors>
          <w:behavior w:val="content"/>
        </w:behaviors>
        <w:description w:val=""/>
        <w:guid w:val="{76AD983B-8560-4A6B-AEFF-5C26FF5D675A}"/>
      </w:docPartPr>
      <w:docPartBody>
        <w:p w14:paraId="2B9F4C7E">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6BC"/>
    <w:rsid w:val="001C3D46"/>
    <w:rsid w:val="005E3007"/>
    <w:rsid w:val="005F7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autoRedefine/>
    <w:semiHidden/>
    <w:unhideWhenUsed/>
    <w:qFormat/>
    <w:uiPriority w:val="1"/>
  </w:style>
  <w:style w:type="table" w:default="1" w:styleId="3">
    <w:name w:val="Normal Table"/>
    <w:autoRedefin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5A977575371B46D798265058F8697AA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A6B99CC7C37C446AAFFAEF1DF3620C9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FC397904A02B48C1B095E131EDFE1C6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4C6465-0A31-426D-9930-9E2E5B72FBA6}">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8</Pages>
  <Words>5987</Words>
  <Characters>6266</Characters>
  <Lines>50</Lines>
  <Paragraphs>14</Paragraphs>
  <TotalTime>4</TotalTime>
  <ScaleCrop>false</ScaleCrop>
  <LinksUpToDate>false</LinksUpToDate>
  <CharactersWithSpaces>6739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2024-04-19T03:00:00Z</dcterms:created>
  <dc:creator>Feng</dc:creator>
  <dc:description>&lt;config cover="true" show_menu="true" version="1.0.0" doctype="SDKXY"&gt;_x000d_
&lt;/config&gt;</dc:description>
  <cp:lastModifiedBy>Administrator</cp:lastModifiedBy>
  <cp:lastPrinted>2020-08-30T10:00:00Z</cp:lastPrinted>
  <dcterms:modified xsi:type="dcterms:W3CDTF">2024-08-19T04:12:37Z</dcterms:modified>
  <dc:title>地方标准</dc:title>
  <cp:revision>151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2052-12.1.0.17827</vt:lpwstr>
  </property>
  <property fmtid="{D5CDD505-2E9C-101B-9397-08002B2CF9AE}" pid="15" name="ICV">
    <vt:lpwstr>3ED9FB1961CB42FA824D390C67A57D73_13</vt:lpwstr>
  </property>
</Properties>
</file>