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65.020.30 </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2201</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肉牛牛舍建设规范 第4部分：基础母牛</w:t>
      </w:r>
      <w:r>
        <w:t>  </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 for construction of beef cattle sheds—Part 4：Basic</w:t>
      </w:r>
      <w:r>
        <w:rPr>
          <w:rFonts w:hint="eastAsia" w:ascii="黑体" w:hAnsi="黑体" w:eastAsia="黑体"/>
          <w:szCs w:val="28"/>
          <w:lang w:val="en-US" w:eastAsia="zh-CN"/>
        </w:rPr>
        <w:t xml:space="preserve"> c</w:t>
      </w:r>
      <w:r>
        <w:rPr>
          <w:rFonts w:hint="eastAsia" w:ascii="黑体" w:hAnsi="黑体" w:eastAsia="黑体"/>
          <w:szCs w:val="28"/>
        </w:rPr>
        <w:t>ow</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46"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bookmarkEnd w:id="46"/>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（本草案完成时间：2024年6月13日）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rPr>
          <w:rFonts w:hint="eastAsia"/>
        </w:rPr>
      </w:pPr>
      <w:bookmarkStart w:id="21" w:name="BookMark2"/>
      <w:r>
        <w:rPr>
          <w:rFonts w:hint="eastAsia"/>
          <w:spacing w:val="320"/>
        </w:rPr>
        <w:t>前</w:t>
      </w:r>
      <w:r>
        <w:rPr>
          <w:rFonts w:hint="eastAsia"/>
        </w:rP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pPr>
      <w:r>
        <w:rPr>
          <w:rFonts w:hint="eastAsia"/>
        </w:rPr>
        <w:t xml:space="preserve">本文件是 </w:t>
      </w:r>
      <w:r>
        <w:t>DB2201/T XXX</w:t>
      </w:r>
      <w:r>
        <w:rPr>
          <w:rFonts w:hint="eastAsia"/>
        </w:rPr>
        <w:t>《肉牛</w:t>
      </w:r>
      <w:r>
        <w:t>牛舍建设规范</w:t>
      </w:r>
      <w:r>
        <w:rPr>
          <w:rFonts w:hint="eastAsia"/>
        </w:rPr>
        <w:t>》的</w:t>
      </w:r>
      <w:r>
        <w:t>第</w:t>
      </w:r>
      <w:r>
        <w:rPr>
          <w:rFonts w:hint="eastAsia"/>
        </w:rPr>
        <w:t xml:space="preserve"> 4 部分。</w:t>
      </w:r>
      <w:r>
        <w:t xml:space="preserve">DB2201/T XXX </w:t>
      </w:r>
      <w:r>
        <w:rPr>
          <w:rFonts w:hint="eastAsia"/>
        </w:rPr>
        <w:t>已经</w:t>
      </w:r>
      <w:r>
        <w:t>发布了</w:t>
      </w:r>
      <w:r>
        <w:rPr>
          <w:rFonts w:hint="eastAsia"/>
        </w:rPr>
        <w:t>以下</w:t>
      </w:r>
      <w:r>
        <w:t>部分：</w:t>
      </w:r>
    </w:p>
    <w:p>
      <w:pPr>
        <w:pStyle w:val="56"/>
        <w:ind w:firstLine="420"/>
      </w:pPr>
      <w:r>
        <w:t>——第</w:t>
      </w:r>
      <w:r>
        <w:rPr>
          <w:rFonts w:hint="eastAsia"/>
        </w:rPr>
        <w:t xml:space="preserve"> 1 部分</w:t>
      </w:r>
      <w:r>
        <w:t>：总则</w:t>
      </w:r>
    </w:p>
    <w:p>
      <w:pPr>
        <w:pStyle w:val="56"/>
        <w:ind w:firstLine="420"/>
      </w:pPr>
      <w:r>
        <w:t>——</w:t>
      </w:r>
      <w:r>
        <w:rPr>
          <w:rFonts w:hint="eastAsia"/>
        </w:rPr>
        <w:t>第 2</w:t>
      </w:r>
      <w:r>
        <w:t xml:space="preserve"> </w:t>
      </w:r>
      <w:r>
        <w:rPr>
          <w:rFonts w:hint="eastAsia"/>
        </w:rPr>
        <w:t>部分</w:t>
      </w:r>
      <w:r>
        <w:t>：</w:t>
      </w:r>
      <w:r>
        <w:rPr>
          <w:rFonts w:hint="eastAsia"/>
        </w:rPr>
        <w:t>种公牛</w:t>
      </w:r>
    </w:p>
    <w:p>
      <w:pPr>
        <w:pStyle w:val="56"/>
        <w:ind w:firstLine="420"/>
      </w:pPr>
      <w:r>
        <w:t>——</w:t>
      </w:r>
      <w:r>
        <w:rPr>
          <w:rFonts w:hint="eastAsia"/>
        </w:rPr>
        <w:t>第 3 部分</w:t>
      </w:r>
      <w:r>
        <w:t>：</w:t>
      </w:r>
      <w:r>
        <w:rPr>
          <w:rFonts w:hint="eastAsia"/>
        </w:rPr>
        <w:t>种母牛</w:t>
      </w:r>
    </w:p>
    <w:p>
      <w:pPr>
        <w:pStyle w:val="56"/>
        <w:ind w:firstLine="420"/>
      </w:pPr>
      <w:r>
        <w:t>——</w:t>
      </w:r>
      <w:r>
        <w:rPr>
          <w:rFonts w:hint="eastAsia"/>
        </w:rPr>
        <w:t>第 4 部分</w:t>
      </w:r>
      <w:r>
        <w:t>：</w:t>
      </w:r>
      <w:r>
        <w:rPr>
          <w:rFonts w:hint="eastAsia"/>
        </w:rPr>
        <w:t>基础母牛</w:t>
      </w:r>
    </w:p>
    <w:p>
      <w:pPr>
        <w:pStyle w:val="56"/>
        <w:ind w:firstLine="420"/>
      </w:pPr>
      <w:r>
        <w:t>——</w:t>
      </w:r>
      <w:r>
        <w:rPr>
          <w:rFonts w:hint="eastAsia"/>
        </w:rPr>
        <w:t>第 5 部分</w:t>
      </w:r>
      <w:r>
        <w:t>：</w:t>
      </w:r>
      <w:r>
        <w:rPr>
          <w:rFonts w:hint="eastAsia"/>
        </w:rPr>
        <w:t>育肥牛</w:t>
      </w:r>
    </w:p>
    <w:p>
      <w:pPr>
        <w:pStyle w:val="56"/>
        <w:ind w:firstLine="420"/>
      </w:pPr>
      <w:r>
        <w:rPr>
          <w:rFonts w:hint="eastAsia"/>
        </w:rPr>
        <w:t>请注意本文件的某些内容可能涉及专利。本文件的发布机构不承担识别专利的责任。</w:t>
      </w:r>
    </w:p>
    <w:p>
      <w:pPr>
        <w:pStyle w:val="56"/>
        <w:ind w:firstLine="420"/>
        <w:rPr>
          <w:rFonts w:hint="eastAsia"/>
        </w:rPr>
      </w:pPr>
      <w:r>
        <w:rPr>
          <w:rFonts w:hint="eastAsia"/>
        </w:rPr>
        <w:t>本文件由长春市畜牧业管理局提出并归口。</w:t>
      </w:r>
    </w:p>
    <w:p>
      <w:pPr>
        <w:pStyle w:val="56"/>
        <w:ind w:firstLine="420"/>
        <w:rPr>
          <w:rFonts w:hint="eastAsia"/>
        </w:rPr>
      </w:pPr>
      <w:r>
        <w:rPr>
          <w:rFonts w:hint="eastAsia"/>
        </w:rPr>
        <w:t>本文件由长春市畜牧业管理局组织实施。</w:t>
      </w:r>
    </w:p>
    <w:p>
      <w:pPr>
        <w:pStyle w:val="56"/>
        <w:ind w:firstLine="420"/>
        <w:rPr>
          <w:rFonts w:hint="eastAsia"/>
        </w:rPr>
      </w:pPr>
      <w:r>
        <w:rPr>
          <w:rFonts w:hint="eastAsia"/>
        </w:rPr>
        <w:t>本文件起草单位：长春市畜牧总站、吉林省畜牧兽医科学研究院、公主岭市大岭镇综合服务中心、德惠市惠恒牧业有限公司。</w:t>
      </w:r>
    </w:p>
    <w:p>
      <w:pPr>
        <w:pStyle w:val="56"/>
        <w:ind w:firstLine="420"/>
        <w:rPr>
          <w:rFonts w:hint="eastAsia"/>
        </w:rPr>
      </w:pPr>
      <w:r>
        <w:rPr>
          <w:rFonts w:hint="eastAsia"/>
        </w:rPr>
        <w:t>本文件主要起草人：孙龙、刘畅、宋永国、李文才、马春花、杨国良、李晓瑞、马淑娟、刘明明、杨舒贻、杜佳励、徐微、许晨光、邵洪泽、罗久杨。</w:t>
      </w:r>
    </w:p>
    <w:p>
      <w:pPr>
        <w:pStyle w:val="56"/>
        <w:ind w:firstLine="420"/>
        <w:rPr>
          <w:rFonts w:hint="eastAsia"/>
        </w:rPr>
      </w:pPr>
    </w:p>
    <w:p>
      <w:pPr>
        <w:pStyle w:val="56"/>
        <w:ind w:firstLine="420"/>
        <w:rPr>
          <w:rFonts w:hint="eastAsia"/>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pStyle w:val="89"/>
        <w:spacing w:after="468"/>
        <w:rPr>
          <w:rFonts w:hint="eastAsia"/>
        </w:rPr>
      </w:pPr>
      <w:bookmarkStart w:id="22" w:name="BookMark3"/>
      <w:r>
        <w:rPr>
          <w:rFonts w:hint="eastAsia"/>
          <w:spacing w:val="320"/>
        </w:rPr>
        <w:t>引</w:t>
      </w:r>
      <w:r>
        <w:rPr>
          <w:rFonts w:hint="eastAsia"/>
        </w:rPr>
        <w:t>言</w:t>
      </w:r>
    </w:p>
    <w:p>
      <w:pPr>
        <w:pStyle w:val="56"/>
        <w:ind w:firstLine="420"/>
        <w:rPr>
          <w:rFonts w:hint="eastAsia"/>
        </w:rPr>
      </w:pPr>
      <w:r>
        <w:rPr>
          <w:rFonts w:hint="eastAsia"/>
        </w:rPr>
        <w:t>现代畜牧业的基本要求是集约化、标准化生产，实现可持续、高效益、高质量发展。进入新发展阶段，肉牛产业面临着转型升级和结构调整的挑战，同时也带来了新的机遇。肉牛牛舍是肉牛产业发展的重要基础设施，基础母牛饲养周期长，良好的牛舍为母牛提供优良的生活环境条件和完善的动物福利，提高母牛的生产效率，有效预防疾病的发生。同时可以节约饲养成本，减少养殖生产全过程的能耗和污染物排放。</w:t>
      </w:r>
    </w:p>
    <w:p>
      <w:pPr>
        <w:pStyle w:val="56"/>
        <w:ind w:firstLine="420"/>
        <w:rPr>
          <w:rFonts w:hint="eastAsia"/>
        </w:rPr>
      </w:pPr>
      <w:r>
        <w:rPr>
          <w:rFonts w:hint="eastAsia"/>
        </w:rPr>
        <w:t>DB2201/T XXX 是为了规范肉牛牛舍建设，提高牛舍建设质量而编制的文件。依据肉牛不同功能和发育阶段，标准被划分为不同牛舍类别。针对不同类型牛舍建设要求，将 DB2201/T XXX 拟划分为 5 个部分。</w:t>
      </w:r>
    </w:p>
    <w:p>
      <w:pPr>
        <w:pStyle w:val="56"/>
        <w:ind w:firstLine="420"/>
        <w:rPr>
          <w:rFonts w:hint="eastAsia"/>
        </w:rPr>
      </w:pPr>
      <w:r>
        <w:rPr>
          <w:rFonts w:hint="eastAsia"/>
        </w:rPr>
        <w:t>——第 1 部分：总则。目的在于确立适用于不同类别肉牛牛舍建设的总体原则和要求。</w:t>
      </w:r>
    </w:p>
    <w:p>
      <w:pPr>
        <w:pStyle w:val="56"/>
        <w:ind w:firstLine="420"/>
        <w:rPr>
          <w:rFonts w:hint="eastAsia"/>
        </w:rPr>
      </w:pPr>
      <w:r>
        <w:rPr>
          <w:rFonts w:hint="eastAsia"/>
        </w:rPr>
        <w:t>——第 2 部分：种公牛。目的在于确立适用于种公牛牛舍建设的原则和要求。</w:t>
      </w:r>
    </w:p>
    <w:p>
      <w:pPr>
        <w:pStyle w:val="56"/>
        <w:ind w:firstLine="420"/>
        <w:rPr>
          <w:rFonts w:hint="eastAsia"/>
        </w:rPr>
      </w:pPr>
      <w:r>
        <w:rPr>
          <w:rFonts w:hint="eastAsia"/>
        </w:rPr>
        <w:t>——第 3 部分：种母牛。目的在于确立适用于种母牛牛舍建设的原则和要求。</w:t>
      </w:r>
    </w:p>
    <w:p>
      <w:pPr>
        <w:pStyle w:val="56"/>
        <w:ind w:firstLine="420"/>
        <w:rPr>
          <w:rFonts w:hint="eastAsia"/>
        </w:rPr>
      </w:pPr>
      <w:r>
        <w:rPr>
          <w:rFonts w:hint="eastAsia"/>
        </w:rPr>
        <w:t>——第 4 部分：基础母牛。目的在于确立适用于基础母牛牛舍建设的原则和要求。</w:t>
      </w:r>
    </w:p>
    <w:p>
      <w:pPr>
        <w:pStyle w:val="56"/>
        <w:ind w:firstLine="420"/>
        <w:rPr>
          <w:rFonts w:hint="eastAsia"/>
        </w:rPr>
      </w:pPr>
      <w:r>
        <w:rPr>
          <w:rFonts w:hint="eastAsia"/>
        </w:rPr>
        <w:t>——第 5 部分：育肥牛。目的在于确立适用于育肥牛牛舍建设的原则和要求。</w:t>
      </w:r>
    </w:p>
    <w:p>
      <w:pPr>
        <w:pStyle w:val="56"/>
        <w:ind w:firstLine="420"/>
        <w:rPr>
          <w:rFonts w:hint="eastAsia"/>
        </w:rPr>
      </w:pPr>
    </w:p>
    <w:p>
      <w:pPr>
        <w:pStyle w:val="56"/>
        <w:ind w:firstLine="420"/>
        <w:rPr>
          <w:rFonts w:hint="eastAsia"/>
        </w:rPr>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hint="eastAsia" w:ascii="黑体" w:hAnsi="黑体" w:eastAsia="黑体"/>
          <w:sz w:val="32"/>
          <w:szCs w:val="32"/>
        </w:rPr>
      </w:pPr>
      <w:bookmarkStart w:id="23"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A1E5B1E6E0D542A79C071BE037B0EC6C"/>
        </w:placeholder>
      </w:sdtPr>
      <w:sdtContent>
        <w:p>
          <w:pPr>
            <w:pStyle w:val="177"/>
            <w:spacing w:before="312" w:beforeLines="100" w:after="686" w:afterLines="220"/>
            <w:rPr>
              <w:rFonts w:hint="eastAsia"/>
            </w:rPr>
          </w:pPr>
          <w:bookmarkStart w:id="24" w:name="NEW_STAND_NAME"/>
          <w:r>
            <w:rPr>
              <w:rFonts w:hint="eastAsia"/>
            </w:rPr>
            <w:t>肉牛牛舍建设规范</w:t>
          </w:r>
          <w:r>
            <w:t xml:space="preserve"> 第4部分：基础母牛  </w:t>
          </w:r>
        </w:p>
      </w:sdtContent>
    </w:sdt>
    <w:bookmarkEnd w:id="24"/>
    <w:p>
      <w:pPr>
        <w:pStyle w:val="104"/>
        <w:spacing w:before="312" w:after="312"/>
      </w:pPr>
      <w:bookmarkStart w:id="25" w:name="_Toc26648465"/>
      <w:bookmarkStart w:id="26" w:name="_Toc24884211"/>
      <w:bookmarkStart w:id="27" w:name="_Toc17233333"/>
      <w:bookmarkStart w:id="28" w:name="_Toc26718930"/>
      <w:bookmarkStart w:id="29" w:name="_Toc26986771"/>
      <w:bookmarkStart w:id="30" w:name="_Toc17233325"/>
      <w:bookmarkStart w:id="31" w:name="_Toc26986530"/>
      <w:bookmarkStart w:id="32" w:name="_Toc97191423"/>
      <w:bookmarkStart w:id="33" w:name="_Toc24884218"/>
      <w:r>
        <w:rPr>
          <w:rFonts w:hint="eastAsia"/>
        </w:rPr>
        <w:t>范围</w:t>
      </w:r>
      <w:bookmarkEnd w:id="25"/>
      <w:bookmarkEnd w:id="26"/>
      <w:bookmarkEnd w:id="27"/>
      <w:bookmarkEnd w:id="28"/>
      <w:bookmarkEnd w:id="29"/>
      <w:bookmarkEnd w:id="30"/>
      <w:bookmarkEnd w:id="31"/>
      <w:bookmarkEnd w:id="32"/>
      <w:bookmarkEnd w:id="33"/>
    </w:p>
    <w:p>
      <w:pPr>
        <w:pStyle w:val="56"/>
        <w:ind w:firstLine="420"/>
        <w:rPr>
          <w:rFonts w:hint="eastAsia"/>
        </w:rPr>
      </w:pPr>
      <w:bookmarkStart w:id="34" w:name="_Toc17233326"/>
      <w:bookmarkStart w:id="35" w:name="_Toc26648466"/>
      <w:bookmarkStart w:id="36" w:name="_Toc17233334"/>
      <w:bookmarkStart w:id="37" w:name="_Toc24884212"/>
      <w:bookmarkStart w:id="38" w:name="_Toc24884219"/>
      <w:r>
        <w:rPr>
          <w:rFonts w:hint="eastAsia"/>
        </w:rPr>
        <w:t>本文件规定了基础母牛牛舍建设的选址、平面布局、设计、建设、内部布局、内部设施、配套设施、等要求。</w:t>
      </w:r>
    </w:p>
    <w:p>
      <w:pPr>
        <w:pStyle w:val="56"/>
        <w:ind w:firstLine="420"/>
      </w:pPr>
      <w:r>
        <w:rPr>
          <w:rFonts w:hint="eastAsia"/>
        </w:rPr>
        <w:t>本文件适用于育肥牛牛舍建设。</w:t>
      </w:r>
    </w:p>
    <w:p>
      <w:pPr>
        <w:pStyle w:val="104"/>
        <w:spacing w:before="312" w:after="312"/>
      </w:pPr>
      <w:bookmarkStart w:id="39" w:name="_Toc97191424"/>
      <w:bookmarkStart w:id="40" w:name="_Toc26718931"/>
      <w:bookmarkStart w:id="41" w:name="_Toc26986531"/>
      <w:bookmarkStart w:id="42" w:name="_Toc26986772"/>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8D2D4838E42D404A9F9D5840BE5AA620"/>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DB2201/T×××《肉牛牛舍建设规范 第1部分：总则》</w:t>
      </w:r>
    </w:p>
    <w:p>
      <w:pPr>
        <w:pStyle w:val="104"/>
        <w:spacing w:before="312" w:after="312"/>
      </w:pPr>
      <w:bookmarkStart w:id="43" w:name="_Toc97191425"/>
      <w:r>
        <w:rPr>
          <w:rFonts w:hint="eastAsia"/>
          <w:szCs w:val="21"/>
        </w:rPr>
        <w:t>术语和定义</w:t>
      </w:r>
      <w:bookmarkEnd w:id="43"/>
    </w:p>
    <w:sdt>
      <w:sdtPr>
        <w:id w:val="-1909835108"/>
        <w:placeholder>
          <w:docPart w:val="F0890E0EAC044F64980F4086648F0CB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t>DB2201/T ×××界定的术语和定义适用于本文件。</w:t>
          </w:r>
        </w:p>
      </w:sdtContent>
    </w:sdt>
    <w:p>
      <w:pPr>
        <w:pStyle w:val="104"/>
        <w:spacing w:before="312" w:after="312"/>
        <w:rPr>
          <w:rFonts w:hint="eastAsia"/>
        </w:rPr>
      </w:pPr>
      <w:r>
        <w:rPr>
          <w:rFonts w:hint="eastAsia"/>
        </w:rPr>
        <w:t>选址</w:t>
      </w:r>
    </w:p>
    <w:p>
      <w:pPr>
        <w:pStyle w:val="162"/>
        <w:rPr>
          <w:rFonts w:hint="eastAsia"/>
        </w:rPr>
      </w:pPr>
      <w:r>
        <w:rPr>
          <w:rFonts w:hint="eastAsia"/>
        </w:rPr>
        <w:t>牛舍选址布局应符合DB2201/T×××《肉牛牛舍建设规范 第1部分：总则》的规定。</w:t>
      </w:r>
    </w:p>
    <w:p>
      <w:pPr>
        <w:pStyle w:val="162"/>
      </w:pPr>
      <w:r>
        <w:rPr>
          <w:rFonts w:hint="eastAsia"/>
        </w:rPr>
        <w:t>母牛舍应位于公牛舍的下风向，育肥牛舍上风向。</w:t>
      </w:r>
    </w:p>
    <w:p>
      <w:pPr>
        <w:pStyle w:val="104"/>
        <w:spacing w:before="312" w:after="312"/>
        <w:rPr>
          <w:rFonts w:hint="eastAsia"/>
        </w:rPr>
      </w:pPr>
      <w:r>
        <w:rPr>
          <w:rFonts w:hint="eastAsia"/>
        </w:rPr>
        <w:t>平面布局</w:t>
      </w:r>
    </w:p>
    <w:p>
      <w:pPr>
        <w:pStyle w:val="162"/>
        <w:rPr>
          <w:rFonts w:hint="eastAsia"/>
        </w:rPr>
      </w:pPr>
      <w:r>
        <w:rPr>
          <w:rFonts w:hint="eastAsia"/>
        </w:rPr>
        <w:t>按屋顶形式分类宜采用双坡式、半塔楼式。</w:t>
      </w:r>
    </w:p>
    <w:p>
      <w:pPr>
        <w:pStyle w:val="162"/>
        <w:rPr>
          <w:rFonts w:hint="eastAsia"/>
        </w:rPr>
      </w:pPr>
      <w:r>
        <w:rPr>
          <w:rFonts w:hint="eastAsia"/>
        </w:rPr>
        <w:t>按墙体结构分类宜采用封闭式、半开放式。</w:t>
      </w:r>
    </w:p>
    <w:p>
      <w:pPr>
        <w:pStyle w:val="162"/>
        <w:rPr>
          <w:rFonts w:hint="eastAsia"/>
        </w:rPr>
      </w:pPr>
      <w:r>
        <w:rPr>
          <w:rFonts w:hint="eastAsia"/>
        </w:rPr>
        <w:t>按牛栏排列分类宜采用双列式、单列式。</w:t>
      </w:r>
    </w:p>
    <w:p>
      <w:pPr>
        <w:pStyle w:val="162"/>
      </w:pPr>
      <w:r>
        <w:rPr>
          <w:rFonts w:hint="eastAsia"/>
        </w:rPr>
        <w:t>按采光方式分类宜采用墙体采光、混合采光。</w:t>
      </w:r>
    </w:p>
    <w:p>
      <w:pPr>
        <w:pStyle w:val="104"/>
        <w:spacing w:before="312" w:after="312"/>
        <w:rPr>
          <w:rFonts w:hint="eastAsia"/>
        </w:rPr>
      </w:pPr>
      <w:r>
        <w:rPr>
          <w:rFonts w:hint="eastAsia"/>
        </w:rPr>
        <w:t>设计</w:t>
      </w:r>
    </w:p>
    <w:p>
      <w:pPr>
        <w:pStyle w:val="56"/>
        <w:ind w:firstLine="420"/>
      </w:pPr>
      <w:r>
        <w:rPr>
          <w:rFonts w:hint="eastAsia"/>
        </w:rPr>
        <w:t>应符合 DB2201/T×××《肉牛牛舍建设规范 第1部分：总则》的规定。</w:t>
      </w:r>
    </w:p>
    <w:p>
      <w:pPr>
        <w:pStyle w:val="104"/>
        <w:spacing w:before="312" w:after="312"/>
        <w:rPr>
          <w:rFonts w:hint="eastAsia"/>
        </w:rPr>
      </w:pPr>
      <w:r>
        <w:rPr>
          <w:rFonts w:hint="eastAsia"/>
        </w:rPr>
        <w:t>建设</w:t>
      </w:r>
    </w:p>
    <w:p>
      <w:pPr>
        <w:pStyle w:val="105"/>
        <w:spacing w:before="156" w:after="156"/>
        <w:rPr>
          <w:rFonts w:hint="eastAsia"/>
        </w:rPr>
      </w:pPr>
      <w:r>
        <w:rPr>
          <w:rFonts w:hint="eastAsia"/>
        </w:rPr>
        <w:t xml:space="preserve">布局 </w:t>
      </w:r>
    </w:p>
    <w:p>
      <w:pPr>
        <w:pStyle w:val="165"/>
        <w:rPr>
          <w:rFonts w:hint="eastAsia"/>
        </w:rPr>
      </w:pPr>
      <w:r>
        <w:rPr>
          <w:rFonts w:hint="eastAsia"/>
        </w:rPr>
        <w:t>单列式牛舍跨度不少于5 m，饲喂通道在室内一侧，室外运动场与饲养区相连。</w:t>
      </w:r>
    </w:p>
    <w:p>
      <w:pPr>
        <w:pStyle w:val="165"/>
        <w:rPr>
          <w:rFonts w:hint="eastAsia"/>
        </w:rPr>
      </w:pPr>
      <w:r>
        <w:rPr>
          <w:rFonts w:hint="eastAsia"/>
        </w:rPr>
        <w:t>双列式牛舍跨度不少于10 m，牛舍中间为饲喂通道，两侧为釆食活动区且可设置可移动分群围栏，在两侧采食活动区南北墙附近设置尿沟，尿沟上盖盖板，活动区域满足粪便清理机械作业，该类型牛舍南北两侧须设户外运动场，供母牛户外活动。</w:t>
      </w:r>
    </w:p>
    <w:p>
      <w:pPr>
        <w:pStyle w:val="165"/>
        <w:rPr>
          <w:rFonts w:hint="eastAsia"/>
        </w:rPr>
      </w:pPr>
      <w:r>
        <w:rPr>
          <w:rFonts w:hint="eastAsia"/>
        </w:rPr>
        <w:t>舍内净高不低于3 m，单列式舍檐口高度不低于3.2 m，双列式牛舍檐口高度不低于3.8 m。</w:t>
      </w:r>
    </w:p>
    <w:p>
      <w:pPr>
        <w:pStyle w:val="105"/>
        <w:spacing w:before="156" w:after="156"/>
        <w:rPr>
          <w:rFonts w:hint="eastAsia"/>
        </w:rPr>
      </w:pPr>
      <w:r>
        <w:rPr>
          <w:rFonts w:hint="eastAsia"/>
        </w:rPr>
        <w:t xml:space="preserve">距离 </w:t>
      </w:r>
    </w:p>
    <w:p>
      <w:pPr>
        <w:pStyle w:val="56"/>
        <w:ind w:firstLine="420"/>
        <w:rPr>
          <w:rFonts w:hint="eastAsia"/>
        </w:rPr>
      </w:pPr>
      <w:r>
        <w:rPr>
          <w:rFonts w:hint="eastAsia"/>
        </w:rPr>
        <w:t xml:space="preserve">牛舍距离应符合DB2201/T×××《肉牛牛舍建设规范 第1部分：总则》的规定。 </w:t>
      </w:r>
    </w:p>
    <w:p>
      <w:pPr>
        <w:pStyle w:val="105"/>
        <w:spacing w:before="156" w:after="156"/>
        <w:rPr>
          <w:rFonts w:hint="eastAsia"/>
        </w:rPr>
      </w:pPr>
      <w:r>
        <w:rPr>
          <w:rFonts w:hint="eastAsia"/>
        </w:rPr>
        <w:t xml:space="preserve">结构  </w:t>
      </w:r>
    </w:p>
    <w:p>
      <w:pPr>
        <w:pStyle w:val="56"/>
        <w:ind w:firstLine="420"/>
        <w:rPr>
          <w:rFonts w:hint="eastAsia"/>
        </w:rPr>
      </w:pPr>
      <w:r>
        <w:rPr>
          <w:rFonts w:hint="eastAsia"/>
        </w:rPr>
        <w:t>宜采用钢管彩钢结构或砖混结构。</w:t>
      </w:r>
    </w:p>
    <w:p>
      <w:pPr>
        <w:pStyle w:val="105"/>
        <w:spacing w:before="156" w:after="156"/>
        <w:rPr>
          <w:rFonts w:hint="eastAsia"/>
        </w:rPr>
      </w:pPr>
      <w:r>
        <w:rPr>
          <w:rFonts w:hint="eastAsia"/>
        </w:rPr>
        <w:t>基础</w:t>
      </w:r>
    </w:p>
    <w:p>
      <w:pPr>
        <w:pStyle w:val="56"/>
        <w:ind w:firstLine="420"/>
      </w:pPr>
      <w:r>
        <w:rPr>
          <w:rFonts w:hint="eastAsia"/>
        </w:rPr>
        <w:t>牛舍基础宜采用条形基础。</w:t>
      </w:r>
    </w:p>
    <w:p>
      <w:pPr>
        <w:pStyle w:val="105"/>
        <w:spacing w:before="156" w:after="156"/>
        <w:rPr>
          <w:rFonts w:hint="eastAsia"/>
        </w:rPr>
      </w:pPr>
      <w:r>
        <w:rPr>
          <w:rFonts w:hint="eastAsia"/>
        </w:rPr>
        <w:t>屋顶</w:t>
      </w:r>
    </w:p>
    <w:p>
      <w:pPr>
        <w:pStyle w:val="165"/>
        <w:rPr>
          <w:rFonts w:hint="eastAsia"/>
        </w:rPr>
      </w:pPr>
      <w:r>
        <w:rPr>
          <w:rFonts w:hint="eastAsia"/>
        </w:rPr>
        <w:t>屋顶造型根据设计选择防积雪、宜通风采光的结构（查别标准、论文采光面积）。</w:t>
      </w:r>
    </w:p>
    <w:p>
      <w:pPr>
        <w:pStyle w:val="165"/>
        <w:rPr>
          <w:rFonts w:hint="eastAsia"/>
        </w:rPr>
      </w:pPr>
      <w:r>
        <w:rPr>
          <w:rFonts w:hint="eastAsia"/>
        </w:rPr>
        <w:t>屋顶材质应符合DB2201/T×××《肉牛牛舍建设规范 第1部分：总则》的规定。</w:t>
      </w:r>
    </w:p>
    <w:p>
      <w:pPr>
        <w:pStyle w:val="105"/>
        <w:spacing w:before="156" w:after="156"/>
        <w:rPr>
          <w:rFonts w:hint="eastAsia"/>
        </w:rPr>
      </w:pPr>
      <w:r>
        <w:rPr>
          <w:rFonts w:hint="eastAsia"/>
        </w:rPr>
        <w:t>墙体</w:t>
      </w:r>
    </w:p>
    <w:p>
      <w:pPr>
        <w:pStyle w:val="165"/>
        <w:rPr>
          <w:rFonts w:hint="eastAsia"/>
        </w:rPr>
      </w:pPr>
      <w:r>
        <w:rPr>
          <w:rFonts w:hint="eastAsia"/>
        </w:rPr>
        <w:t>墙体宜采用轻钢结构或砖混结构，留门洞口应避开冬季主导风向或加风斗以避开冷风。</w:t>
      </w:r>
    </w:p>
    <w:p>
      <w:pPr>
        <w:pStyle w:val="165"/>
      </w:pPr>
      <w:r>
        <w:rPr>
          <w:rFonts w:hint="eastAsia"/>
        </w:rPr>
        <w:t>坚固结实、防水，具有良好的保温与隔热性能，内墙面应平整光滑，易于清洗消毒。</w:t>
      </w:r>
    </w:p>
    <w:p>
      <w:pPr>
        <w:pStyle w:val="105"/>
        <w:spacing w:before="156" w:after="156"/>
        <w:rPr>
          <w:rFonts w:hint="eastAsia"/>
        </w:rPr>
      </w:pPr>
      <w:r>
        <w:rPr>
          <w:rFonts w:hint="eastAsia"/>
        </w:rPr>
        <w:t xml:space="preserve">通道设置 </w:t>
      </w:r>
    </w:p>
    <w:p>
      <w:pPr>
        <w:pStyle w:val="165"/>
        <w:rPr>
          <w:rFonts w:hint="eastAsia"/>
        </w:rPr>
      </w:pPr>
      <w:r>
        <w:rPr>
          <w:rFonts w:hint="eastAsia"/>
        </w:rPr>
        <w:t>牛舍应设计饲喂通道和清粪通道，且不交叉。</w:t>
      </w:r>
    </w:p>
    <w:p>
      <w:pPr>
        <w:pStyle w:val="165"/>
        <w:rPr>
          <w:rFonts w:hint="eastAsia"/>
        </w:rPr>
      </w:pPr>
      <w:r>
        <w:rPr>
          <w:rFonts w:hint="eastAsia"/>
        </w:rPr>
        <w:t>舍内饲喂通道宽度应与饲料运输工具相符，清粪通道应满足清粪器具自由进出。</w:t>
      </w:r>
    </w:p>
    <w:p>
      <w:pPr>
        <w:pStyle w:val="165"/>
        <w:rPr>
          <w:rFonts w:hint="eastAsia"/>
        </w:rPr>
      </w:pPr>
      <w:r>
        <w:rPr>
          <w:rFonts w:hint="eastAsia"/>
        </w:rPr>
        <w:t>饲喂通道应高于养殖场区净道20 cm以上，并在舍外通过缓坡形式与净道相连。</w:t>
      </w:r>
    </w:p>
    <w:p>
      <w:pPr>
        <w:pStyle w:val="165"/>
        <w:rPr>
          <w:rFonts w:hint="eastAsia"/>
        </w:rPr>
      </w:pPr>
      <w:r>
        <w:rPr>
          <w:rFonts w:hint="eastAsia"/>
        </w:rPr>
        <w:t>一体化饲喂通道的饲槽牛床侧高出送料通道地面0.35 m～0.40 m 以上，饲槽送料通道侧与送料通道一个平面，饲槽宽度一般为0.4 m～0.6 m，深度为0 m～0.2 m，采用TMR搅拌车饲喂的送料通道宽度根据设备选型确定。</w:t>
      </w:r>
    </w:p>
    <w:p>
      <w:pPr>
        <w:pStyle w:val="165"/>
      </w:pPr>
      <w:r>
        <w:rPr>
          <w:rFonts w:hint="eastAsia"/>
        </w:rPr>
        <w:t>清粪通道应高于养殖场区污道，并在舍外通过缓坡形式与污道相连。</w:t>
      </w:r>
    </w:p>
    <w:p>
      <w:pPr>
        <w:pStyle w:val="105"/>
        <w:spacing w:before="156" w:after="156"/>
        <w:rPr>
          <w:rFonts w:hint="eastAsia"/>
        </w:rPr>
      </w:pPr>
      <w:r>
        <w:rPr>
          <w:rFonts w:hint="eastAsia"/>
        </w:rPr>
        <w:t>门</w:t>
      </w:r>
    </w:p>
    <w:p>
      <w:pPr>
        <w:pStyle w:val="165"/>
        <w:rPr>
          <w:rFonts w:hint="eastAsia"/>
        </w:rPr>
      </w:pPr>
      <w:r>
        <w:rPr>
          <w:rFonts w:hint="eastAsia"/>
        </w:rPr>
        <w:t>门应向外开放，不应设置台阶和门槛。</w:t>
      </w:r>
    </w:p>
    <w:p>
      <w:pPr>
        <w:pStyle w:val="165"/>
        <w:rPr>
          <w:rFonts w:hint="eastAsia"/>
        </w:rPr>
      </w:pPr>
      <w:r>
        <w:rPr>
          <w:rFonts w:hint="eastAsia"/>
        </w:rPr>
        <w:t>饲喂通道大门的宽度为 2 m以上，高度为 2 m以上。</w:t>
      </w:r>
    </w:p>
    <w:p>
      <w:pPr>
        <w:pStyle w:val="165"/>
        <w:rPr>
          <w:rFonts w:hint="eastAsia"/>
        </w:rPr>
      </w:pPr>
      <w:r>
        <w:rPr>
          <w:rFonts w:hint="eastAsia"/>
        </w:rPr>
        <w:t>清粪通道大门的宽度为 2 m以上，高度为 2 m以上。</w:t>
      </w:r>
    </w:p>
    <w:p>
      <w:pPr>
        <w:pStyle w:val="165"/>
      </w:pPr>
      <w:r>
        <w:rPr>
          <w:rFonts w:hint="eastAsia"/>
        </w:rPr>
        <w:t>固定分群围栏每个区域应设有一扇门，作为母牛进入运动场的通道。</w:t>
      </w:r>
    </w:p>
    <w:p>
      <w:pPr>
        <w:pStyle w:val="105"/>
        <w:spacing w:before="156" w:after="156"/>
        <w:rPr>
          <w:rFonts w:hint="eastAsia"/>
        </w:rPr>
      </w:pPr>
      <w:r>
        <w:rPr>
          <w:rFonts w:hint="eastAsia"/>
        </w:rPr>
        <w:t>地面</w:t>
      </w:r>
    </w:p>
    <w:p>
      <w:pPr>
        <w:pStyle w:val="165"/>
        <w:rPr>
          <w:rFonts w:hint="eastAsia"/>
        </w:rPr>
      </w:pPr>
      <w:r>
        <w:rPr>
          <w:rFonts w:hint="eastAsia"/>
        </w:rPr>
        <w:t>主要有牛床、饲喂通道、清粪槽道。</w:t>
      </w:r>
    </w:p>
    <w:p>
      <w:pPr>
        <w:pStyle w:val="165"/>
        <w:rPr>
          <w:rFonts w:hint="eastAsia"/>
        </w:rPr>
      </w:pPr>
      <w:r>
        <w:rPr>
          <w:rFonts w:hint="eastAsia"/>
        </w:rPr>
        <w:t>牛床地面可采用混凝土地面或砖铺地面，混凝土地面防滑处理，采用砖铺地面时，需立铺，坡度控制在 2 %～3 %，向粪污沟倾斜。牛床地面与食槽上缘距离约0.6 m。</w:t>
      </w:r>
    </w:p>
    <w:p>
      <w:pPr>
        <w:pStyle w:val="165"/>
        <w:rPr>
          <w:rFonts w:hint="eastAsia"/>
        </w:rPr>
      </w:pPr>
      <w:r>
        <w:rPr>
          <w:rFonts w:hint="eastAsia"/>
        </w:rPr>
        <w:t>饲喂通道宜采用混凝土结构，表面光滑宜清理。</w:t>
      </w:r>
    </w:p>
    <w:p>
      <w:pPr>
        <w:pStyle w:val="165"/>
        <w:rPr>
          <w:rFonts w:hint="eastAsia"/>
        </w:rPr>
      </w:pPr>
      <w:r>
        <w:rPr>
          <w:rFonts w:hint="eastAsia"/>
        </w:rPr>
        <w:t xml:space="preserve">清粪槽道采用混凝土地面，清粪槽道地面须刻线条防滑。 </w:t>
      </w:r>
    </w:p>
    <w:p>
      <w:pPr>
        <w:pStyle w:val="165"/>
      </w:pPr>
      <w:r>
        <w:rPr>
          <w:rFonts w:hint="eastAsia"/>
        </w:rPr>
        <w:t>运动场地面为素土夯实地面，中央高，向牛舍两侧山墙方向呈一定的缓坡状较理想。</w:t>
      </w:r>
    </w:p>
    <w:p>
      <w:pPr>
        <w:pStyle w:val="104"/>
        <w:spacing w:before="312" w:after="312"/>
        <w:rPr>
          <w:rFonts w:hint="eastAsia"/>
        </w:rPr>
      </w:pPr>
      <w:r>
        <w:rPr>
          <w:rFonts w:hint="eastAsia"/>
        </w:rPr>
        <w:t>内部布局</w:t>
      </w:r>
    </w:p>
    <w:p>
      <w:pPr>
        <w:pStyle w:val="162"/>
        <w:rPr>
          <w:rFonts w:hint="eastAsia"/>
        </w:rPr>
      </w:pPr>
      <w:r>
        <w:rPr>
          <w:rFonts w:hint="eastAsia"/>
        </w:rPr>
        <w:t>每头存栏母牛所需牛舍建筑面积为 6 m</w:t>
      </w:r>
      <w:r>
        <w:rPr>
          <w:rFonts w:hint="eastAsia"/>
          <w:vertAlign w:val="superscript"/>
        </w:rPr>
        <w:t xml:space="preserve">2 </w:t>
      </w:r>
      <w:r>
        <w:rPr>
          <w:rFonts w:hint="eastAsia"/>
        </w:rPr>
        <w:t>以上。</w:t>
      </w:r>
    </w:p>
    <w:p>
      <w:pPr>
        <w:pStyle w:val="162"/>
        <w:rPr>
          <w:rFonts w:hint="eastAsia"/>
        </w:rPr>
      </w:pPr>
      <w:r>
        <w:rPr>
          <w:rFonts w:hint="eastAsia"/>
        </w:rPr>
        <w:t>单栋牛舍内部可划分空怀区、妊娠区、分娩区、哺乳区等不同功能区。分娩区和哺乳区宜设置在牛舍出入口附近。多栋牛舍可按比例建设分娩牛舍或哺乳牛舍。</w:t>
      </w:r>
    </w:p>
    <w:p>
      <w:pPr>
        <w:pStyle w:val="162"/>
        <w:rPr>
          <w:rFonts w:hint="eastAsia"/>
        </w:rPr>
      </w:pPr>
      <w:r>
        <w:rPr>
          <w:rFonts w:hint="eastAsia"/>
        </w:rPr>
        <w:t>分娩牛舍（区）或哺乳牛舍（区）增加照明设施或增强采光条件。地面应做防滑处理，墙壁应光滑，以方便经常性的消毒，应有供暖保温设施和加热饮水设施。</w:t>
      </w:r>
    </w:p>
    <w:p>
      <w:pPr>
        <w:pStyle w:val="162"/>
      </w:pPr>
      <w:r>
        <w:rPr>
          <w:rFonts w:hint="eastAsia"/>
        </w:rPr>
        <w:t>哺乳牛舍（区）内部应设计犊牛采食区，使用可随意拆装移动的特殊围栏，保证犊牛自由出入，防止母牛进入。</w:t>
      </w:r>
    </w:p>
    <w:p>
      <w:pPr>
        <w:pStyle w:val="104"/>
        <w:spacing w:before="312" w:after="312"/>
        <w:rPr>
          <w:rFonts w:hint="eastAsia"/>
        </w:rPr>
      </w:pPr>
      <w:r>
        <w:rPr>
          <w:rFonts w:hint="eastAsia"/>
        </w:rPr>
        <w:t>内部设施</w:t>
      </w:r>
    </w:p>
    <w:p>
      <w:pPr>
        <w:pStyle w:val="162"/>
        <w:rPr>
          <w:rFonts w:hint="eastAsia"/>
        </w:rPr>
      </w:pPr>
      <w:r>
        <w:rPr>
          <w:rFonts w:hint="eastAsia"/>
        </w:rPr>
        <w:t>采食围栏或者分群围栏采用坚固耐用的钢管或铸铁管，高度应根据肉牛品种而定，宜为1.3 m～1.5 m。</w:t>
      </w:r>
    </w:p>
    <w:p>
      <w:pPr>
        <w:pStyle w:val="162"/>
        <w:rPr>
          <w:rFonts w:hint="eastAsia"/>
        </w:rPr>
      </w:pPr>
      <w:r>
        <w:rPr>
          <w:rFonts w:hint="eastAsia"/>
        </w:rPr>
        <w:t>采食围栏宜为固定式限位（带夹颈）栏，分群围栏宜为可移动简易围栏。</w:t>
      </w:r>
    </w:p>
    <w:p>
      <w:pPr>
        <w:pStyle w:val="162"/>
        <w:rPr>
          <w:rFonts w:hint="eastAsia"/>
        </w:rPr>
      </w:pPr>
      <w:r>
        <w:rPr>
          <w:rFonts w:hint="eastAsia"/>
        </w:rPr>
        <w:t>单设饲槽的，饲槽设在牛床前面，槽底为圆形，槽内表面应光滑、耐用。饲槽上口宽 0.55 m～0.65 m，槽内高0.35 m～0.4 m。</w:t>
      </w:r>
    </w:p>
    <w:p>
      <w:pPr>
        <w:pStyle w:val="162"/>
        <w:rPr>
          <w:rFonts w:hint="eastAsia"/>
        </w:rPr>
      </w:pPr>
      <w:r>
        <w:rPr>
          <w:rFonts w:hint="eastAsia"/>
        </w:rPr>
        <w:t>牛床长约 2 m。牛床地面要结实、防滑、易于冲刷消毒。</w:t>
      </w:r>
    </w:p>
    <w:p>
      <w:pPr>
        <w:pStyle w:val="162"/>
        <w:rPr>
          <w:rFonts w:hint="eastAsia"/>
        </w:rPr>
      </w:pPr>
      <w:r>
        <w:rPr>
          <w:rFonts w:hint="eastAsia"/>
        </w:rPr>
        <w:t>每饲养区至少配备一个水槽或自动饮水器等。冬季可选用恒温水槽。</w:t>
      </w:r>
    </w:p>
    <w:p>
      <w:pPr>
        <w:pStyle w:val="162"/>
        <w:rPr>
          <w:rFonts w:hint="eastAsia"/>
        </w:rPr>
      </w:pPr>
      <w:r>
        <w:rPr>
          <w:rFonts w:hint="eastAsia"/>
        </w:rPr>
        <w:t>宜采用光谱较全的灯具进行照明，地面照度 100 Lx～500 Lx。</w:t>
      </w:r>
    </w:p>
    <w:p>
      <w:pPr>
        <w:pStyle w:val="162"/>
      </w:pPr>
      <w:r>
        <w:rPr>
          <w:rFonts w:hint="eastAsia"/>
        </w:rPr>
        <w:t>设置有粪尿沟的应与污水收集池相连。</w:t>
      </w:r>
    </w:p>
    <w:p>
      <w:pPr>
        <w:pStyle w:val="104"/>
        <w:spacing w:before="312" w:after="312"/>
        <w:rPr>
          <w:rFonts w:hint="eastAsia"/>
        </w:rPr>
      </w:pPr>
      <w:r>
        <w:rPr>
          <w:rFonts w:hint="eastAsia"/>
        </w:rPr>
        <w:t>配套设施</w:t>
      </w:r>
    </w:p>
    <w:p>
      <w:pPr>
        <w:pStyle w:val="162"/>
        <w:rPr>
          <w:rFonts w:hint="eastAsia"/>
        </w:rPr>
      </w:pPr>
      <w:r>
        <w:rPr>
          <w:rFonts w:hint="eastAsia"/>
        </w:rPr>
        <w:t>配套设施应符合DB2201/T×××《肉牛牛舍建设规范 第 1 部分：总则》的规定。</w:t>
      </w:r>
    </w:p>
    <w:p>
      <w:pPr>
        <w:pStyle w:val="162"/>
        <w:rPr>
          <w:rFonts w:hint="eastAsia"/>
        </w:rPr>
      </w:pPr>
      <w:r>
        <w:rPr>
          <w:rFonts w:hint="eastAsia"/>
        </w:rPr>
        <w:t>运动场设在双坡式牛舍的南北两侧，单坡式牛舍一般设在南侧，每头牛 8 m2以上。运动场四周围栏用钢管焊制，高 1.3 m～1.5 m。运动场地面以三合土为宜，并向四周有一定坡度。日照强烈地区或季节设遮阳棚或遮阳网。</w:t>
      </w:r>
    </w:p>
    <w:bookmarkEnd w:id="23"/>
    <w:p>
      <w:pPr>
        <w:pStyle w:val="56"/>
        <w:ind w:firstLine="0" w:firstLineChars="0"/>
        <w:jc w:val="center"/>
      </w:pPr>
      <w:bookmarkStart w:id="45" w:name="BookMark8"/>
      <w:r>
        <w:drawing>
          <wp:inline distT="0" distB="0" distL="0" distR="0">
            <wp:extent cx="1485900" cy="317500"/>
            <wp:effectExtent l="0" t="0" r="0" b="6350"/>
            <wp:docPr id="1733375890" name="图片 1"/>
            <wp:cNvGraphicFramePr/>
            <a:graphic xmlns:a="http://schemas.openxmlformats.org/drawingml/2006/main">
              <a:graphicData uri="http://schemas.openxmlformats.org/drawingml/2006/picture">
                <pic:pic xmlns:pic="http://schemas.openxmlformats.org/drawingml/2006/picture">
                  <pic:nvPicPr>
                    <pic:cNvPr id="1733375890"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tgf9YwBGMWwD7q0wROGrCFadkZccOkv8QmOEZiAZ05JFKRrnYNYGNp6ZEQc+VhSx3cfQPGpk6dtRK76LjgvwFw==" w:salt="BQ9rX5rEgJ73CZ2fuEQMp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C56DE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0991"/>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D1E"/>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09B1"/>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4D45"/>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4ECA"/>
    <w:rsid w:val="006850CD"/>
    <w:rsid w:val="00685AAB"/>
    <w:rsid w:val="00687F27"/>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39FF"/>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427F"/>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DE7"/>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07A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19AF"/>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158D6"/>
    <w:rsid w:val="054B35C3"/>
    <w:rsid w:val="0B7218AA"/>
    <w:rsid w:val="12C37CA8"/>
    <w:rsid w:val="1C71170A"/>
    <w:rsid w:val="2ACD0453"/>
    <w:rsid w:val="454F7F8B"/>
    <w:rsid w:val="46113492"/>
    <w:rsid w:val="471E5E67"/>
    <w:rsid w:val="4CC72AFC"/>
    <w:rsid w:val="59A3044D"/>
    <w:rsid w:val="604E1113"/>
    <w:rsid w:val="62C751AC"/>
    <w:rsid w:val="63957059"/>
    <w:rsid w:val="647D7BB9"/>
    <w:rsid w:val="690C1B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0" w:name="toc 8"/>
    <w:lsdException w:uiPriority="0" w:name="toc 9"/>
    <w:lsdException w:unhideWhenUsed="0" w:uiPriority="0" w:semiHidden="0" w:name="Normal Indent"/>
    <w:lsdException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uiPriority w:val="99"/>
    <w:rPr>
      <w:rFonts w:ascii="宋体" w:hAnsi="Times New Roman" w:eastAsia="宋体"/>
      <w:color w:val="auto"/>
      <w:spacing w:val="0"/>
      <w:w w:val="100"/>
      <w:position w:val="0"/>
      <w:sz w:val="21"/>
      <w:u w:val="none"/>
      <w:vertAlign w:val="baseline"/>
    </w:rPr>
  </w:style>
  <w:style w:type="character" w:styleId="33">
    <w:name w:val="footnote reference"/>
    <w:semiHidden/>
    <w:uiPriority w:val="0"/>
    <w:rPr>
      <w:rFonts w:ascii="宋体" w:hAnsi="宋体" w:eastAsia="宋体" w:cs="Times New Roman"/>
      <w:spacing w:val="0"/>
      <w:sz w:val="18"/>
      <w:vertAlign w:val="superscript"/>
    </w:rPr>
  </w:style>
  <w:style w:type="character" w:customStyle="1" w:styleId="34">
    <w:name w:val="标题 1 字符"/>
    <w:link w:val="2"/>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uiPriority w:val="0"/>
    <w:rPr>
      <w:b/>
      <w:bCs/>
      <w:kern w:val="2"/>
      <w:sz w:val="24"/>
      <w:szCs w:val="24"/>
    </w:rPr>
  </w:style>
  <w:style w:type="character" w:customStyle="1" w:styleId="41">
    <w:name w:val="标题 8 字符"/>
    <w:link w:val="9"/>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uiPriority w:val="0"/>
    <w:pPr>
      <w:ind w:left="198"/>
    </w:pPr>
    <w:rPr>
      <w:rFonts w:ascii="宋体" w:hAnsi="Times New Roman" w:eastAsia="宋体" w:cs="Times New Roman"/>
      <w:sz w:val="18"/>
      <w:lang w:val="en-US" w:eastAsia="zh-CN" w:bidi="ar-SA"/>
    </w:rPr>
  </w:style>
  <w:style w:type="paragraph" w:customStyle="1" w:styleId="52">
    <w:name w:val="标准文件_页脚奇数页"/>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uiPriority w:val="0"/>
    <w:pPr>
      <w:spacing w:line="0" w:lineRule="atLeast"/>
    </w:pPr>
    <w:rPr>
      <w:rFonts w:ascii="黑体" w:hAnsi="宋体" w:eastAsia="黑体"/>
    </w:rPr>
  </w:style>
  <w:style w:type="paragraph" w:customStyle="1" w:styleId="55">
    <w:name w:val="标准文件_标准正文"/>
    <w:basedOn w:val="1"/>
    <w:next w:val="56"/>
    <w:uiPriority w:val="0"/>
    <w:pPr>
      <w:snapToGrid w:val="0"/>
      <w:ind w:firstLine="200" w:firstLineChars="200"/>
    </w:pPr>
    <w:rPr>
      <w:kern w:val="0"/>
    </w:rPr>
  </w:style>
  <w:style w:type="paragraph" w:customStyle="1" w:styleId="56">
    <w:name w:val="标准文件_段"/>
    <w:link w:val="184"/>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uiPriority w:val="0"/>
    <w:pPr>
      <w:adjustRightInd/>
      <w:snapToGrid/>
      <w:ind w:firstLine="0" w:firstLineChars="0"/>
    </w:pPr>
    <w:rPr>
      <w:rFonts w:ascii="宋体" w:hAnsi="宋体"/>
      <w:kern w:val="2"/>
    </w:rPr>
  </w:style>
  <w:style w:type="paragraph" w:customStyle="1" w:styleId="58">
    <w:name w:val="标准文件_标准部门"/>
    <w:basedOn w:val="1"/>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uiPriority w:val="0"/>
    <w:pPr>
      <w:numPr>
        <w:ilvl w:val="0"/>
        <w:numId w:val="3"/>
      </w:numPr>
      <w:ind w:firstLine="0" w:firstLineChars="0"/>
    </w:pPr>
  </w:style>
  <w:style w:type="paragraph" w:customStyle="1" w:styleId="68">
    <w:name w:val="标准文件_封面标准编号"/>
    <w:basedOn w:val="1"/>
    <w:next w:val="59"/>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uiPriority w:val="0"/>
    <w:pPr>
      <w:spacing w:line="240" w:lineRule="auto"/>
      <w:jc w:val="center"/>
    </w:pPr>
    <w:rPr>
      <w:rFonts w:ascii="黑体" w:eastAsia="黑体"/>
      <w:b/>
      <w:sz w:val="28"/>
    </w:rPr>
  </w:style>
  <w:style w:type="paragraph" w:customStyle="1" w:styleId="72">
    <w:name w:val="标准文件_封面发布日期"/>
    <w:basedOn w:val="1"/>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uiPriority w:val="0"/>
    <w:pPr>
      <w:spacing w:line="310" w:lineRule="exact"/>
      <w:jc w:val="right"/>
    </w:pPr>
    <w:rPr>
      <w:rFonts w:ascii="黑体" w:eastAsia="黑体"/>
      <w:sz w:val="28"/>
    </w:rPr>
  </w:style>
  <w:style w:type="paragraph" w:customStyle="1" w:styleId="75">
    <w:name w:val="标准文件_封面抬头"/>
    <w:basedOn w:val="56"/>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uiPriority w:val="0"/>
    <w:rPr>
      <w:kern w:val="2"/>
      <w:sz w:val="21"/>
      <w:szCs w:val="21"/>
    </w:rPr>
  </w:style>
  <w:style w:type="paragraph" w:customStyle="1" w:styleId="87">
    <w:name w:val="标准文件_附录章标题"/>
    <w:next w:val="56"/>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uiPriority w:val="0"/>
    <w:pPr>
      <w:ind w:left="488" w:leftChars="200" w:hanging="289" w:hangingChars="290"/>
    </w:pPr>
  </w:style>
  <w:style w:type="paragraph" w:customStyle="1" w:styleId="89">
    <w:name w:val="标准文件_前言、引言标题"/>
    <w:next w:val="1"/>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uiPriority w:val="0"/>
    <w:pPr>
      <w:spacing w:line="460" w:lineRule="exact"/>
      <w:ind w:left="0" w:firstLine="0"/>
    </w:pPr>
  </w:style>
  <w:style w:type="paragraph" w:customStyle="1" w:styleId="91">
    <w:name w:val="标准文件_目录标题"/>
    <w:basedOn w:val="1"/>
    <w:uiPriority w:val="0"/>
    <w:pPr>
      <w:spacing w:before="480" w:after="150" w:afterLines="150" w:line="240" w:lineRule="auto"/>
      <w:jc w:val="center"/>
    </w:pPr>
    <w:rPr>
      <w:rFonts w:ascii="黑体" w:eastAsia="黑体"/>
      <w:sz w:val="32"/>
    </w:rPr>
  </w:style>
  <w:style w:type="paragraph" w:customStyle="1" w:styleId="92">
    <w:name w:val="标准文件_破折号列项"/>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uiPriority w:val="0"/>
    <w:pPr>
      <w:numPr>
        <w:numId w:val="10"/>
      </w:numPr>
    </w:pPr>
  </w:style>
  <w:style w:type="paragraph" w:customStyle="1" w:styleId="94">
    <w:name w:val="标准文件_三级条标题"/>
    <w:basedOn w:val="65"/>
    <w:next w:val="56"/>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uiPriority w:val="0"/>
    <w:pPr>
      <w:adjustRightInd/>
      <w:spacing w:line="240" w:lineRule="auto"/>
      <w:ind w:firstLine="200" w:firstLineChars="200"/>
    </w:pPr>
    <w:rPr>
      <w:sz w:val="18"/>
      <w:szCs w:val="24"/>
    </w:rPr>
  </w:style>
  <w:style w:type="paragraph" w:customStyle="1" w:styleId="97">
    <w:name w:val="标准文件_数字编号列项"/>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uiPriority w:val="0"/>
    <w:rPr>
      <w:rFonts w:ascii="宋体"/>
      <w:kern w:val="2"/>
      <w:sz w:val="18"/>
      <w:szCs w:val="18"/>
    </w:rPr>
  </w:style>
  <w:style w:type="paragraph" w:customStyle="1" w:styleId="100">
    <w:name w:val="标准文件_条文脚注"/>
    <w:basedOn w:val="21"/>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uiPriority w:val="0"/>
    <w:pPr>
      <w:numPr>
        <w:ilvl w:val="0"/>
        <w:numId w:val="12"/>
      </w:numPr>
      <w:spacing w:line="240" w:lineRule="auto"/>
      <w:jc w:val="left"/>
    </w:pPr>
    <w:rPr>
      <w:rFonts w:ascii="宋体" w:hAnsi="宋体"/>
      <w:sz w:val="18"/>
    </w:rPr>
  </w:style>
  <w:style w:type="character" w:customStyle="1" w:styleId="102">
    <w:name w:val="标准文件_图表脚注内容"/>
    <w:uiPriority w:val="0"/>
    <w:rPr>
      <w:rFonts w:ascii="宋体" w:hAnsi="宋体" w:eastAsia="宋体" w:cs="Times New Roman"/>
      <w:spacing w:val="0"/>
      <w:sz w:val="18"/>
      <w:vertAlign w:val="superscript"/>
    </w:rPr>
  </w:style>
  <w:style w:type="paragraph" w:customStyle="1" w:styleId="103">
    <w:name w:val="标准文件_五级条标题"/>
    <w:next w:val="56"/>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uiPriority w:val="0"/>
    <w:pPr>
      <w:numPr>
        <w:ilvl w:val="2"/>
      </w:numPr>
      <w:spacing w:before="50" w:beforeLines="50" w:after="50" w:afterLines="50"/>
      <w:outlineLvl w:val="1"/>
    </w:pPr>
  </w:style>
  <w:style w:type="paragraph" w:customStyle="1" w:styleId="106">
    <w:name w:val="标准文件_一致程度"/>
    <w:basedOn w:val="1"/>
    <w:uiPriority w:val="0"/>
    <w:pPr>
      <w:spacing w:line="440" w:lineRule="exact"/>
      <w:jc w:val="center"/>
    </w:pPr>
    <w:rPr>
      <w:sz w:val="28"/>
    </w:rPr>
  </w:style>
  <w:style w:type="paragraph" w:customStyle="1" w:styleId="107">
    <w:name w:val="标准文件_引言标题"/>
    <w:next w:val="1"/>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uiPriority w:val="0"/>
    <w:pPr>
      <w:numPr>
        <w:ilvl w:val="3"/>
        <w:numId w:val="20"/>
      </w:numPr>
      <w:adjustRightInd/>
      <w:spacing w:line="240" w:lineRule="auto"/>
    </w:pPr>
    <w:rPr>
      <w:rFonts w:ascii="宋体" w:hAnsi="宋体"/>
      <w:szCs w:val="24"/>
    </w:rPr>
  </w:style>
  <w:style w:type="paragraph" w:customStyle="1" w:styleId="119">
    <w:name w:val="发布部门"/>
    <w:next w:val="56"/>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uiPriority w:val="0"/>
    <w:pPr>
      <w:outlineLvl w:val="4"/>
    </w:pPr>
  </w:style>
  <w:style w:type="paragraph" w:customStyle="1" w:styleId="130">
    <w:name w:val="附录四级无标题条"/>
    <w:basedOn w:val="129"/>
    <w:next w:val="56"/>
    <w:uiPriority w:val="0"/>
    <w:pPr>
      <w:outlineLvl w:val="5"/>
    </w:pPr>
  </w:style>
  <w:style w:type="paragraph" w:customStyle="1" w:styleId="131">
    <w:name w:val="附录图"/>
    <w:next w:val="56"/>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uiPriority w:val="0"/>
    <w:pPr>
      <w:outlineLvl w:val="6"/>
    </w:pPr>
  </w:style>
  <w:style w:type="paragraph" w:customStyle="1" w:styleId="134">
    <w:name w:val="附录性质"/>
    <w:basedOn w:val="1"/>
    <w:uiPriority w:val="0"/>
    <w:pPr>
      <w:widowControl/>
      <w:adjustRightInd/>
      <w:jc w:val="center"/>
    </w:pPr>
    <w:rPr>
      <w:rFonts w:ascii="黑体" w:eastAsia="黑体"/>
    </w:rPr>
  </w:style>
  <w:style w:type="paragraph" w:customStyle="1" w:styleId="135">
    <w:name w:val="附录一级无标题条"/>
    <w:basedOn w:val="87"/>
    <w:next w:val="56"/>
    <w:uiPriority w:val="0"/>
    <w:pPr>
      <w:autoSpaceDN w:val="0"/>
      <w:outlineLvl w:val="2"/>
    </w:pPr>
    <w:rPr>
      <w:rFonts w:ascii="宋体" w:hAnsi="宋体" w:eastAsia="宋体"/>
    </w:rPr>
  </w:style>
  <w:style w:type="character" w:customStyle="1" w:styleId="136">
    <w:name w:val="个人答复风格"/>
    <w:uiPriority w:val="0"/>
    <w:rPr>
      <w:rFonts w:ascii="Arial" w:hAnsi="Arial" w:eastAsia="宋体" w:cs="Arial"/>
      <w:color w:val="auto"/>
      <w:spacing w:val="0"/>
      <w:sz w:val="20"/>
    </w:rPr>
  </w:style>
  <w:style w:type="character" w:customStyle="1" w:styleId="137">
    <w:name w:val="个人撰写风格"/>
    <w:uiPriority w:val="0"/>
    <w:rPr>
      <w:rFonts w:ascii="Arial" w:hAnsi="Arial" w:eastAsia="宋体" w:cs="Arial"/>
      <w:color w:val="auto"/>
      <w:spacing w:val="0"/>
      <w:sz w:val="20"/>
    </w:rPr>
  </w:style>
  <w:style w:type="paragraph" w:customStyle="1" w:styleId="138">
    <w:name w:val="脚注后续"/>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uiPriority w:val="0"/>
    <w:pPr>
      <w:adjustRightInd/>
      <w:spacing w:line="240" w:lineRule="auto"/>
      <w:jc w:val="left"/>
    </w:pPr>
  </w:style>
  <w:style w:type="paragraph" w:customStyle="1" w:styleId="145">
    <w:name w:val="目录 51"/>
    <w:basedOn w:val="1"/>
    <w:next w:val="1"/>
    <w:autoRedefine/>
    <w:semiHidden/>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A1E5B1E6E0D542A79C071BE037B0EC6C"/>
        <w:style w:val=""/>
        <w:category>
          <w:name w:val="常规"/>
          <w:gallery w:val="placeholder"/>
        </w:category>
        <w:types>
          <w:type w:val="bbPlcHdr"/>
        </w:types>
        <w:behaviors>
          <w:behavior w:val="content"/>
        </w:behaviors>
        <w:description w:val=""/>
        <w:guid w:val="{77752F5F-DAE3-4870-BB99-1C8E73A83083}"/>
      </w:docPartPr>
      <w:docPartBody>
        <w:p>
          <w:pPr>
            <w:pStyle w:val="5"/>
          </w:pPr>
          <w:r>
            <w:rPr>
              <w:rStyle w:val="4"/>
              <w:rFonts w:hint="eastAsia"/>
            </w:rPr>
            <w:t>单击或点击此处输入文字。</w:t>
          </w:r>
        </w:p>
      </w:docPartBody>
    </w:docPart>
    <w:docPart>
      <w:docPartPr>
        <w:name w:val="8D2D4838E42D404A9F9D5840BE5AA620"/>
        <w:style w:val=""/>
        <w:category>
          <w:name w:val="常规"/>
          <w:gallery w:val="placeholder"/>
        </w:category>
        <w:types>
          <w:type w:val="bbPlcHdr"/>
        </w:types>
        <w:behaviors>
          <w:behavior w:val="content"/>
        </w:behaviors>
        <w:description w:val=""/>
        <w:guid w:val="{1A1062FE-5952-42B8-8FD0-B74492EF98E8}"/>
      </w:docPartPr>
      <w:docPartBody>
        <w:p>
          <w:pPr>
            <w:pStyle w:val="6"/>
          </w:pPr>
          <w:r>
            <w:rPr>
              <w:rStyle w:val="4"/>
              <w:rFonts w:hint="eastAsia"/>
            </w:rPr>
            <w:t>选择一项。</w:t>
          </w:r>
        </w:p>
      </w:docPartBody>
    </w:docPart>
    <w:docPart>
      <w:docPartPr>
        <w:name w:val="F0890E0EAC044F64980F4086648F0CB3"/>
        <w:style w:val=""/>
        <w:category>
          <w:name w:val="常规"/>
          <w:gallery w:val="placeholder"/>
        </w:category>
        <w:types>
          <w:type w:val="bbPlcHdr"/>
        </w:types>
        <w:behaviors>
          <w:behavior w:val="content"/>
        </w:behaviors>
        <w:description w:val=""/>
        <w:guid w:val="{FE50E8E8-CB92-4E61-A171-C8C78483D64A}"/>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037"/>
    <w:rsid w:val="00687F27"/>
    <w:rsid w:val="00707FE3"/>
    <w:rsid w:val="009210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A1E5B1E6E0D542A79C071BE037B0EC6C"/>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8D2D4838E42D404A9F9D5840BE5AA620"/>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F0890E0EAC044F64980F4086648F0CB3"/>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2699</Words>
  <Characters>2939</Characters>
  <Lines>322</Lines>
  <Paragraphs>290</Paragraphs>
  <TotalTime>13</TotalTime>
  <ScaleCrop>false</ScaleCrop>
  <LinksUpToDate>false</LinksUpToDate>
  <CharactersWithSpaces>3064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2024-08-06T06:21:00Z</dcterms:created>
  <dc:creator>L</dc:creator>
  <dc:description>&lt;config cover="true" show_menu="true" version="1.0.0" doctype="SDKXY"&gt;_x000d_
&lt;/config&gt;</dc:description>
  <cp:lastModifiedBy>slby</cp:lastModifiedBy>
  <cp:lastPrinted>2020-08-30T10:00:00Z</cp:lastPrinted>
  <dcterms:modified xsi:type="dcterms:W3CDTF">2024-08-06T07:19:05Z</dcterms:modified>
  <dc:title>地方标准</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48E1B633317140958805EFDFE5867258_12</vt:lpwstr>
  </property>
</Properties>
</file>