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3"/>
        <w:framePr w:w="0" w:hRule="auto" w:wrap="auto" w:vAnchor="margin" w:hAnchor="text" w:xAlign="left" w:yAlign="inline"/>
        <w:spacing w:line="360" w:lineRule="auto"/>
        <w:ind w:firstLine="560" w:firstLineChars="200"/>
        <w:contextualSpacing/>
        <w:rPr>
          <w:rFonts w:hAnsi="黑体"/>
          <w:kern w:val="36"/>
          <w:sz w:val="28"/>
          <w:szCs w:val="28"/>
        </w:rPr>
      </w:pPr>
      <w:r>
        <w:rPr>
          <w:rFonts w:hint="eastAsia" w:hAnsi="黑体"/>
          <w:kern w:val="36"/>
          <w:sz w:val="28"/>
          <w:szCs w:val="28"/>
        </w:rPr>
        <w:t>长春市地方标准</w:t>
      </w:r>
    </w:p>
    <w:p>
      <w:pPr>
        <w:pStyle w:val="33"/>
        <w:framePr w:w="0" w:hRule="auto" w:wrap="auto" w:vAnchor="margin" w:hAnchor="text" w:xAlign="left" w:yAlign="inline"/>
        <w:spacing w:line="360" w:lineRule="auto"/>
        <w:ind w:firstLine="560" w:firstLineChars="200"/>
        <w:contextualSpacing/>
        <w:rPr>
          <w:rFonts w:hAnsi="黑体"/>
          <w:kern w:val="36"/>
          <w:sz w:val="28"/>
          <w:szCs w:val="28"/>
        </w:rPr>
      </w:pPr>
      <w:r>
        <w:rPr>
          <w:rFonts w:hint="eastAsia" w:hAnsi="黑体"/>
          <w:kern w:val="36"/>
          <w:sz w:val="28"/>
          <w:szCs w:val="28"/>
        </w:rPr>
        <w:t>《肉牛饲养技术规范</w:t>
      </w:r>
      <w:r>
        <w:rPr>
          <w:rFonts w:hAnsi="黑体"/>
          <w:kern w:val="36"/>
          <w:sz w:val="28"/>
          <w:szCs w:val="28"/>
        </w:rPr>
        <w:t xml:space="preserve"> 第3部分：育肥犊牛</w:t>
      </w:r>
      <w:r>
        <w:rPr>
          <w:rFonts w:hint="eastAsia" w:hAnsi="黑体"/>
          <w:kern w:val="36"/>
          <w:sz w:val="28"/>
          <w:szCs w:val="28"/>
        </w:rPr>
        <w:t>》</w:t>
      </w:r>
    </w:p>
    <w:p>
      <w:pPr>
        <w:pStyle w:val="33"/>
        <w:framePr w:w="0" w:hRule="auto" w:wrap="auto" w:vAnchor="margin" w:hAnchor="text" w:xAlign="left" w:yAlign="inline"/>
        <w:spacing w:line="360" w:lineRule="auto"/>
        <w:ind w:firstLine="560" w:firstLineChars="200"/>
        <w:contextualSpacing/>
        <w:rPr>
          <w:rFonts w:hAnsi="黑体"/>
          <w:kern w:val="36"/>
          <w:sz w:val="28"/>
          <w:szCs w:val="28"/>
        </w:rPr>
      </w:pPr>
      <w:r>
        <w:rPr>
          <w:rFonts w:hint="eastAsia" w:hAnsi="黑体"/>
          <w:kern w:val="36"/>
          <w:sz w:val="28"/>
          <w:szCs w:val="28"/>
        </w:rPr>
        <w:t>编制说明</w:t>
      </w:r>
    </w:p>
    <w:p>
      <w:pPr>
        <w:autoSpaceDE w:val="0"/>
        <w:autoSpaceDN w:val="0"/>
        <w:adjustRightInd w:val="0"/>
        <w:spacing w:line="360" w:lineRule="auto"/>
        <w:ind w:firstLine="420" w:firstLineChars="200"/>
        <w:rPr>
          <w:rFonts w:ascii="黑体" w:hAnsi="黑体" w:eastAsia="黑体" w:cs="黑体"/>
          <w:kern w:val="0"/>
          <w:szCs w:val="21"/>
        </w:rPr>
      </w:pPr>
      <w:r>
        <w:rPr>
          <w:rFonts w:hint="eastAsia" w:ascii="黑体" w:hAnsi="黑体" w:eastAsia="黑体" w:cs="黑体"/>
          <w:kern w:val="0"/>
          <w:szCs w:val="21"/>
        </w:rPr>
        <w:t>一、工作简况</w:t>
      </w:r>
    </w:p>
    <w:p>
      <w:pPr>
        <w:autoSpaceDE w:val="0"/>
        <w:autoSpaceDN w:val="0"/>
        <w:adjustRightInd w:val="0"/>
        <w:spacing w:line="360" w:lineRule="auto"/>
        <w:ind w:firstLine="420" w:firstLineChars="200"/>
        <w:rPr>
          <w:rFonts w:ascii="宋体" w:hAnsi="宋体" w:eastAsia="宋体"/>
          <w:kern w:val="0"/>
          <w:szCs w:val="21"/>
        </w:rPr>
      </w:pPr>
      <w:r>
        <w:rPr>
          <w:rFonts w:hint="eastAsia" w:ascii="宋体" w:hAnsi="宋体" w:eastAsia="宋体"/>
          <w:kern w:val="0"/>
          <w:szCs w:val="21"/>
        </w:rPr>
        <w:t>（一）任务来源</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任务来源于长春市市场监督管理局《长春市市场监督管理局关于印发</w:t>
      </w:r>
      <w:r>
        <w:rPr>
          <w:rFonts w:ascii="宋体" w:hAnsi="宋体" w:eastAsia="宋体"/>
          <w:kern w:val="0"/>
          <w:szCs w:val="21"/>
        </w:rPr>
        <w:t>2024年长春市地方标准立项指南的通知》（长市监〔2024〕24号），项目计划编号：</w:t>
      </w:r>
      <w:r>
        <w:rPr>
          <w:rFonts w:hint="eastAsia" w:ascii="宋体" w:hAnsi="宋体" w:eastAsia="宋体"/>
          <w:kern w:val="0"/>
          <w:szCs w:val="21"/>
        </w:rPr>
        <w:t>DBXM</w:t>
      </w:r>
      <w:r>
        <w:rPr>
          <w:rFonts w:ascii="宋体" w:hAnsi="宋体" w:eastAsia="宋体"/>
          <w:kern w:val="0"/>
          <w:szCs w:val="21"/>
        </w:rPr>
        <w:t>07</w:t>
      </w:r>
      <w:r>
        <w:rPr>
          <w:rFonts w:hint="eastAsia" w:ascii="宋体" w:hAnsi="宋体" w:eastAsia="宋体"/>
          <w:kern w:val="0"/>
          <w:szCs w:val="21"/>
        </w:rPr>
        <w:t>—202</w:t>
      </w:r>
      <w:r>
        <w:rPr>
          <w:rFonts w:ascii="宋体" w:hAnsi="宋体" w:eastAsia="宋体"/>
          <w:kern w:val="0"/>
          <w:szCs w:val="21"/>
        </w:rPr>
        <w:t>4</w:t>
      </w:r>
      <w:r>
        <w:rPr>
          <w:rFonts w:hint="eastAsia" w:ascii="宋体" w:hAnsi="宋体" w:eastAsia="宋体"/>
          <w:kern w:val="0"/>
          <w:szCs w:val="21"/>
        </w:rPr>
        <w:t>,计划名称为：《肉牛饲养技术规范</w:t>
      </w:r>
      <w:r>
        <w:rPr>
          <w:rFonts w:ascii="宋体" w:hAnsi="宋体" w:eastAsia="宋体"/>
          <w:kern w:val="0"/>
          <w:szCs w:val="21"/>
        </w:rPr>
        <w:t xml:space="preserve"> 第</w:t>
      </w:r>
      <w:r>
        <w:rPr>
          <w:rFonts w:hint="eastAsia" w:ascii="宋体" w:hAnsi="宋体" w:eastAsia="宋体"/>
          <w:kern w:val="0"/>
          <w:szCs w:val="21"/>
          <w:lang w:val="en-US" w:eastAsia="zh-CN"/>
        </w:rPr>
        <w:t>3</w:t>
      </w:r>
      <w:r>
        <w:rPr>
          <w:rFonts w:ascii="宋体" w:hAnsi="宋体" w:eastAsia="宋体"/>
          <w:kern w:val="0"/>
          <w:szCs w:val="21"/>
        </w:rPr>
        <w:t>部分：育肥</w:t>
      </w:r>
      <w:r>
        <w:rPr>
          <w:rFonts w:hint="eastAsia" w:ascii="宋体" w:hAnsi="宋体" w:eastAsia="宋体"/>
          <w:kern w:val="0"/>
          <w:szCs w:val="21"/>
        </w:rPr>
        <w:t>犊牛》。</w:t>
      </w:r>
      <w:bookmarkStart w:id="0" w:name="_GoBack"/>
      <w:bookmarkEnd w:id="0"/>
    </w:p>
    <w:p>
      <w:pPr>
        <w:numPr>
          <w:ilvl w:val="0"/>
          <w:numId w:val="3"/>
        </w:numPr>
        <w:autoSpaceDE w:val="0"/>
        <w:autoSpaceDN w:val="0"/>
        <w:adjustRightInd w:val="0"/>
        <w:spacing w:line="360" w:lineRule="auto"/>
        <w:ind w:firstLine="420" w:firstLineChars="200"/>
        <w:rPr>
          <w:rFonts w:ascii="宋体" w:hAnsi="宋体" w:eastAsia="宋体"/>
          <w:kern w:val="0"/>
          <w:szCs w:val="21"/>
        </w:rPr>
      </w:pPr>
      <w:r>
        <w:rPr>
          <w:rFonts w:hint="eastAsia" w:ascii="宋体" w:hAnsi="宋体" w:eastAsia="宋体"/>
          <w:kern w:val="0"/>
          <w:szCs w:val="21"/>
        </w:rPr>
        <w:t>起草单位</w:t>
      </w:r>
    </w:p>
    <w:p>
      <w:pPr>
        <w:autoSpaceDE w:val="0"/>
        <w:autoSpaceDN w:val="0"/>
        <w:adjustRightInd w:val="0"/>
        <w:spacing w:line="360" w:lineRule="auto"/>
        <w:ind w:firstLine="420" w:firstLineChars="200"/>
        <w:rPr>
          <w:rFonts w:ascii="宋体" w:hAnsi="宋体" w:eastAsia="宋体"/>
          <w:color w:val="FF0000"/>
          <w:kern w:val="0"/>
          <w:szCs w:val="21"/>
        </w:rPr>
      </w:pPr>
      <w:r>
        <w:rPr>
          <w:rFonts w:hint="eastAsia" w:ascii="宋体" w:hAnsi="宋体" w:eastAsia="宋体"/>
          <w:kern w:val="0"/>
          <w:szCs w:val="21"/>
        </w:rPr>
        <w:t>吉林大学、长春市畜牧总站、吉林新兆农牧业有限责任公司、长春市标准研究院（长春市</w:t>
      </w:r>
      <w:r>
        <w:rPr>
          <w:rFonts w:ascii="宋体" w:hAnsi="宋体" w:eastAsia="宋体"/>
          <w:kern w:val="0"/>
          <w:szCs w:val="21"/>
        </w:rPr>
        <w:t>WTO/TBT咨询中心）。</w:t>
      </w:r>
    </w:p>
    <w:p>
      <w:pPr>
        <w:numPr>
          <w:ilvl w:val="0"/>
          <w:numId w:val="4"/>
        </w:numPr>
        <w:autoSpaceDE w:val="0"/>
        <w:autoSpaceDN w:val="0"/>
        <w:adjustRightInd w:val="0"/>
        <w:spacing w:line="360" w:lineRule="auto"/>
        <w:ind w:firstLine="420" w:firstLineChars="200"/>
        <w:rPr>
          <w:rFonts w:ascii="黑体" w:hAnsi="黑体" w:eastAsia="黑体" w:cs="黑体"/>
          <w:kern w:val="0"/>
          <w:szCs w:val="21"/>
        </w:rPr>
      </w:pPr>
      <w:r>
        <w:rPr>
          <w:rFonts w:hint="eastAsia" w:ascii="黑体" w:hAnsi="黑体" w:eastAsia="黑体" w:cs="黑体"/>
          <w:kern w:val="0"/>
          <w:szCs w:val="21"/>
        </w:rPr>
        <w:t>制定标准的必要性、目的和意义</w:t>
      </w:r>
    </w:p>
    <w:p>
      <w:pPr>
        <w:widowControl/>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（一）立项背景</w:t>
      </w:r>
    </w:p>
    <w:p>
      <w:pPr>
        <w:widowControl/>
        <w:shd w:val="clear" w:color="auto" w:fill="FFFFFF"/>
        <w:spacing w:line="360" w:lineRule="auto"/>
        <w:ind w:firstLine="420" w:firstLineChars="200"/>
        <w:rPr>
          <w:rFonts w:ascii="宋体" w:hAnsi="宋体" w:eastAsia="宋体"/>
          <w:kern w:val="0"/>
          <w:szCs w:val="21"/>
        </w:rPr>
      </w:pPr>
      <w:r>
        <w:rPr>
          <w:rFonts w:hint="eastAsia" w:ascii="宋体" w:hAnsi="宋体" w:eastAsia="宋体"/>
          <w:kern w:val="0"/>
          <w:szCs w:val="21"/>
        </w:rPr>
        <w:t>1、标准化对象特性</w:t>
      </w:r>
    </w:p>
    <w:p>
      <w:pPr>
        <w:widowControl/>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吉林省肉牛产业发展历史悠久，育肥犊牛养殖是肉牛产业的重要环节，目的就是提供更多的优质牛肉。制定犊牛育肥标准化，才能取得良好的经济效益，肉牛产业才能保持持续、健康、高质量发展。</w:t>
      </w:r>
    </w:p>
    <w:p>
      <w:pPr>
        <w:widowControl/>
        <w:shd w:val="clear" w:color="auto" w:fill="FFFFFF"/>
        <w:spacing w:line="360" w:lineRule="auto"/>
        <w:ind w:firstLine="420" w:firstLineChars="200"/>
        <w:rPr>
          <w:rFonts w:ascii="宋体" w:hAnsi="宋体" w:eastAsia="宋体"/>
          <w:kern w:val="0"/>
          <w:szCs w:val="21"/>
        </w:rPr>
      </w:pPr>
      <w:r>
        <w:rPr>
          <w:rFonts w:hint="eastAsia" w:ascii="宋体" w:hAnsi="宋体" w:eastAsia="宋体"/>
          <w:kern w:val="0"/>
          <w:szCs w:val="21"/>
        </w:rPr>
        <w:t>2、产业背景</w:t>
      </w:r>
    </w:p>
    <w:p>
      <w:pPr>
        <w:widowControl/>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目前，我国肉牛产业占畜牧业比重低于美国、巴西等肉牛产业发达国家，是世界第三大肉牛生产国，出口量相比较少，进口量逐年增多。吉林省作为肉牛主产区之一，属于东北优势区，在全国现代肉牛生产中的地位日趋重要。长春市作为国家重要的“粮仓”“肉库”，拥有丰富的饲草饲料资源和肉牛种质资源，现拥有包括中国西门塔尔牛、安格斯牛、中国草原红牛等在内的9个优良品种。截至2023年末，长春市牛发展到 166.2 万头。为确保长春市“秸秆变肉”暨三百万头肉牛产业建设工程顺利实施，科学合理地推进犊牛育肥已成为推进长春市肉牛产业发展的关键所在。</w:t>
      </w:r>
    </w:p>
    <w:p>
      <w:pPr>
        <w:widowControl/>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3、政策背景</w:t>
      </w:r>
    </w:p>
    <w:p>
      <w:pPr>
        <w:widowControl/>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国家对肉牛产业的发展高度重视。2020年，国家出台了《国务院办公厅关于促进畜牧业高质量发展的意见》（国办发〔2020〕31号）；2021年，农业农村部印发了《推进肉牛肉羊生产发展五年行动方案》。同年，《吉林省人民政府办公厅关于实施“秸秆变肉”暨千万头肉牛建设工程的意见》（吉政办发〔2021〕39号）要求2025年吉林省肉牛养殖规模力争达到1000万头。《长春市人民政府办公厅关于印发“秸秆变肉”暨三百万头肉牛产业建设工程实施方案的通知》（长府办发〔2021〕41号)，明确指出到“十四五”末期，全市肉牛养殖超过300万头。《长春市人民政府办公厅关于印发推动肉牛产业高质量发展若干措施的通知》（长府办规〔2022〕9号）。</w:t>
      </w:r>
    </w:p>
    <w:p>
      <w:pPr>
        <w:widowControl/>
        <w:numPr>
          <w:ilvl w:val="0"/>
          <w:numId w:val="5"/>
        </w:numPr>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研究背景</w:t>
      </w:r>
    </w:p>
    <w:p>
      <w:pPr>
        <w:widowControl/>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肉牛品种在形成和发展过程中，受人类生产劳动、社会经济和自然生态条件等的制约。经过长期的自然选择和人工选择，不同品种的肉牛在体形外貌和繁育性能上出现差异表现。规范犊牛育肥标准，提高牛肉质量，是长春市肉牛产业发展之重。因此，本标准对犊牛的育肥方式、犊牛育肥饲养管理技术等进行了规定，以期大力开展育肥犊牛标准化生产工作，从而壮大肉牛产业。</w:t>
      </w:r>
    </w:p>
    <w:p>
      <w:pPr>
        <w:widowControl/>
        <w:numPr>
          <w:ilvl w:val="0"/>
          <w:numId w:val="5"/>
        </w:numPr>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标准背景</w:t>
      </w:r>
    </w:p>
    <w:p>
      <w:pPr>
        <w:widowControl/>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通过检索，未发现与育肥犊牛引进相关的国外标准，未查询到同类的国标、行标、吉林省地方标准和长春市地方标准，与本标准相关的标准有</w:t>
      </w:r>
      <w:r>
        <w:rPr>
          <w:rFonts w:ascii="宋体" w:hAnsi="宋体" w:eastAsia="宋体"/>
          <w:kern w:val="0"/>
          <w:szCs w:val="21"/>
        </w:rPr>
        <w:t>DB22/T 934</w:t>
      </w:r>
      <w:r>
        <w:rPr>
          <w:rFonts w:hint="eastAsia" w:ascii="宋体" w:hAnsi="宋体" w:eastAsia="宋体"/>
          <w:kern w:val="0"/>
          <w:szCs w:val="21"/>
        </w:rPr>
        <w:t xml:space="preserve"> 延边黄牛</w:t>
      </w:r>
      <w:r>
        <w:rPr>
          <w:rFonts w:ascii="宋体" w:hAnsi="宋体" w:eastAsia="宋体"/>
          <w:kern w:val="0"/>
          <w:szCs w:val="21"/>
        </w:rPr>
        <w:t xml:space="preserve"> 育肥牛饲养技术规程</w:t>
      </w:r>
      <w:r>
        <w:rPr>
          <w:rFonts w:hint="eastAsia" w:ascii="宋体" w:hAnsi="宋体" w:eastAsia="宋体"/>
          <w:kern w:val="0"/>
          <w:szCs w:val="21"/>
        </w:rPr>
        <w:t>（吉林省地方标准）、</w:t>
      </w:r>
      <w:r>
        <w:rPr>
          <w:rFonts w:ascii="宋体" w:hAnsi="宋体" w:eastAsia="宋体"/>
          <w:kern w:val="0"/>
          <w:szCs w:val="21"/>
        </w:rPr>
        <w:t>DB22/T 1001</w:t>
      </w:r>
      <w:r>
        <w:rPr>
          <w:rFonts w:hint="eastAsia" w:ascii="宋体" w:hAnsi="宋体" w:eastAsia="宋体"/>
          <w:kern w:val="0"/>
          <w:szCs w:val="21"/>
        </w:rPr>
        <w:t xml:space="preserve"> </w:t>
      </w:r>
      <w:r>
        <w:rPr>
          <w:rFonts w:ascii="宋体" w:hAnsi="宋体" w:eastAsia="宋体"/>
          <w:kern w:val="0"/>
          <w:szCs w:val="21"/>
        </w:rPr>
        <w:t>优质肉牛饲养管理技术规程</w:t>
      </w:r>
      <w:r>
        <w:rPr>
          <w:rFonts w:hint="eastAsia" w:ascii="宋体" w:hAnsi="宋体" w:eastAsia="宋体"/>
          <w:kern w:val="0"/>
          <w:szCs w:val="21"/>
        </w:rPr>
        <w:t>（吉林省地方标准）、</w:t>
      </w:r>
      <w:r>
        <w:rPr>
          <w:rFonts w:ascii="宋体" w:hAnsi="宋体" w:eastAsia="宋体"/>
          <w:kern w:val="0"/>
          <w:szCs w:val="21"/>
        </w:rPr>
        <w:t>T/5115YBAPS 021 育肥牛饲养管理技术规程</w:t>
      </w:r>
      <w:r>
        <w:rPr>
          <w:rFonts w:hint="eastAsia" w:ascii="宋体" w:hAnsi="宋体" w:eastAsia="宋体"/>
          <w:kern w:val="0"/>
          <w:szCs w:val="21"/>
        </w:rPr>
        <w:t>、</w:t>
      </w:r>
      <w:r>
        <w:rPr>
          <w:rFonts w:ascii="宋体" w:hAnsi="宋体" w:eastAsia="宋体"/>
          <w:kern w:val="0"/>
          <w:szCs w:val="21"/>
        </w:rPr>
        <w:t>DB43/T 2607 草山草坡育肥牛饲养管理技术规程</w:t>
      </w:r>
      <w:r>
        <w:rPr>
          <w:rFonts w:hint="eastAsia" w:ascii="宋体" w:hAnsi="宋体" w:eastAsia="宋体"/>
          <w:kern w:val="0"/>
          <w:szCs w:val="21"/>
        </w:rPr>
        <w:t>、</w:t>
      </w:r>
      <w:r>
        <w:rPr>
          <w:rFonts w:ascii="宋体" w:hAnsi="宋体" w:eastAsia="宋体"/>
          <w:kern w:val="0"/>
          <w:szCs w:val="21"/>
        </w:rPr>
        <w:t>DB34/T 127.6 黄牛生产技术规程 育肥牛饲养管理技术</w:t>
      </w:r>
      <w:r>
        <w:rPr>
          <w:rFonts w:hint="eastAsia" w:ascii="宋体" w:hAnsi="宋体" w:eastAsia="宋体"/>
          <w:kern w:val="0"/>
          <w:szCs w:val="21"/>
        </w:rPr>
        <w:t>、</w:t>
      </w:r>
      <w:r>
        <w:rPr>
          <w:rFonts w:ascii="宋体" w:hAnsi="宋体" w:eastAsia="宋体"/>
          <w:kern w:val="0"/>
          <w:szCs w:val="21"/>
        </w:rPr>
        <w:t>DB50/T 740 育肥牛饲养管理技术规范</w:t>
      </w:r>
      <w:r>
        <w:rPr>
          <w:rFonts w:hint="eastAsia" w:ascii="宋体" w:hAnsi="宋体" w:eastAsia="宋体"/>
          <w:kern w:val="0"/>
          <w:szCs w:val="21"/>
        </w:rPr>
        <w:t>。</w:t>
      </w:r>
    </w:p>
    <w:p>
      <w:pPr>
        <w:widowControl/>
        <w:shd w:val="clear" w:color="auto" w:fill="FFFFFF"/>
        <w:spacing w:line="360" w:lineRule="auto"/>
        <w:ind w:left="420" w:leftChars="200"/>
        <w:rPr>
          <w:rFonts w:ascii="宋体" w:hAnsi="宋体" w:eastAsia="宋体"/>
          <w:kern w:val="0"/>
          <w:szCs w:val="21"/>
        </w:rPr>
      </w:pPr>
      <w:r>
        <w:rPr>
          <w:rFonts w:hint="eastAsia" w:ascii="宋体" w:hAnsi="宋体" w:eastAsia="宋体"/>
          <w:kern w:val="0"/>
          <w:szCs w:val="21"/>
        </w:rPr>
        <w:t>（二）存在的问题</w:t>
      </w:r>
    </w:p>
    <w:p>
      <w:pPr>
        <w:widowControl/>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育肥牛的品种、体况、生理阶段参差不齐。饲养过程涉及的因素很多，如饲料、草地、养殖环境及疾病防控等，将对育肥犊牛存栏量产生影响，甚至在一定阶段内可能形成市场供小于求的局面，从而制约长春市肉牛产业发展。我市目前缺乏统一的科学有效的犊牛育肥标准，影响经济效益，因此，急需制定符合长春市肉牛产业发展的犊牛育肥饲养技术规范。</w:t>
      </w:r>
    </w:p>
    <w:p>
      <w:pPr>
        <w:widowControl/>
        <w:numPr>
          <w:ilvl w:val="0"/>
          <w:numId w:val="3"/>
        </w:numPr>
        <w:shd w:val="clear" w:color="auto" w:fill="FFFFFF"/>
        <w:spacing w:line="360" w:lineRule="auto"/>
        <w:ind w:firstLine="420" w:firstLineChars="200"/>
        <w:rPr>
          <w:rFonts w:ascii="宋体" w:hAnsi="宋体" w:eastAsia="宋体"/>
          <w:kern w:val="0"/>
          <w:szCs w:val="21"/>
        </w:rPr>
      </w:pPr>
      <w:r>
        <w:rPr>
          <w:rFonts w:hint="eastAsia" w:ascii="宋体" w:hAnsi="宋体" w:eastAsia="宋体"/>
          <w:kern w:val="0"/>
          <w:szCs w:val="21"/>
        </w:rPr>
        <w:t>目的意义</w:t>
      </w:r>
    </w:p>
    <w:p>
      <w:pPr>
        <w:widowControl/>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肉牛产业作为畜牧业的重要组成部分，对于发展畜牧业和提高人民生活水平至关重要。</w:t>
      </w:r>
      <w:r>
        <w:rPr>
          <w:rFonts w:ascii="宋体" w:hAnsi="宋体" w:eastAsia="宋体"/>
          <w:kern w:val="0"/>
          <w:szCs w:val="21"/>
        </w:rPr>
        <w:t>通过制定育肥牛饲养技术规范，</w:t>
      </w:r>
      <w:r>
        <w:rPr>
          <w:rFonts w:hint="eastAsia" w:ascii="宋体" w:hAnsi="宋体" w:eastAsia="宋体"/>
          <w:kern w:val="0"/>
          <w:szCs w:val="21"/>
        </w:rPr>
        <w:t>对</w:t>
      </w:r>
      <w:r>
        <w:rPr>
          <w:rFonts w:ascii="宋体" w:hAnsi="宋体" w:eastAsia="宋体"/>
          <w:kern w:val="0"/>
          <w:szCs w:val="21"/>
        </w:rPr>
        <w:t>促进长春市肉牛扩群增量、提质增效，推动肉牛产业高质量发展</w:t>
      </w:r>
      <w:r>
        <w:rPr>
          <w:rFonts w:hint="eastAsia" w:ascii="宋体" w:hAnsi="宋体" w:eastAsia="宋体"/>
          <w:kern w:val="0"/>
          <w:szCs w:val="21"/>
        </w:rPr>
        <w:t>，</w:t>
      </w:r>
      <w:r>
        <w:rPr>
          <w:rFonts w:hint="eastAsia" w:ascii="宋体" w:hAnsi="宋体" w:eastAsia="宋体"/>
          <w:szCs w:val="21"/>
        </w:rPr>
        <w:t>提升育肥效率，</w:t>
      </w:r>
      <w:r>
        <w:rPr>
          <w:rFonts w:hint="eastAsia" w:ascii="宋体" w:hAnsi="宋体" w:eastAsia="宋体"/>
          <w:kern w:val="0"/>
          <w:szCs w:val="21"/>
        </w:rPr>
        <w:t>增强牛肉及畜产品供给保障能力，巩固脱贫攻坚成果，推进乡村振兴，促进经济社会稳定发展具有重要意义。</w:t>
      </w:r>
    </w:p>
    <w:p>
      <w:pPr>
        <w:autoSpaceDE w:val="0"/>
        <w:autoSpaceDN w:val="0"/>
        <w:adjustRightInd w:val="0"/>
        <w:spacing w:line="360" w:lineRule="auto"/>
        <w:ind w:firstLine="420" w:firstLineChars="200"/>
        <w:rPr>
          <w:rFonts w:ascii="宋体" w:hAnsi="宋体" w:eastAsia="宋体"/>
          <w:kern w:val="0"/>
          <w:szCs w:val="21"/>
        </w:rPr>
      </w:pPr>
      <w:r>
        <w:rPr>
          <w:rFonts w:hint="eastAsia" w:ascii="黑体" w:hAnsi="黑体" w:eastAsia="黑体" w:cs="黑体"/>
          <w:kern w:val="0"/>
          <w:szCs w:val="21"/>
        </w:rPr>
        <w:t>三、主要起草过程</w:t>
      </w:r>
    </w:p>
    <w:p>
      <w:pPr>
        <w:autoSpaceDE w:val="0"/>
        <w:autoSpaceDN w:val="0"/>
        <w:adjustRightInd w:val="0"/>
        <w:spacing w:line="360" w:lineRule="auto"/>
        <w:ind w:firstLine="420" w:firstLineChars="200"/>
        <w:rPr>
          <w:rFonts w:ascii="宋体" w:hAnsi="宋体" w:eastAsia="宋体"/>
          <w:kern w:val="0"/>
          <w:szCs w:val="21"/>
        </w:rPr>
      </w:pPr>
      <w:r>
        <w:rPr>
          <w:rFonts w:hint="eastAsia" w:ascii="宋体" w:hAnsi="宋体" w:eastAsia="宋体"/>
          <w:kern w:val="0"/>
          <w:szCs w:val="21"/>
        </w:rPr>
        <w:t>（一）预研阶段</w:t>
      </w:r>
    </w:p>
    <w:p>
      <w:pPr>
        <w:widowControl/>
        <w:shd w:val="clear" w:color="auto" w:fill="FFFFFF"/>
        <w:spacing w:line="360" w:lineRule="auto"/>
        <w:ind w:firstLine="420"/>
        <w:rPr>
          <w:rFonts w:ascii="宋体" w:hAnsi="宋体" w:eastAsia="宋体"/>
          <w:kern w:val="0"/>
          <w:szCs w:val="21"/>
        </w:rPr>
      </w:pPr>
      <w:r>
        <w:rPr>
          <w:rFonts w:hint="eastAsia" w:ascii="宋体" w:hAnsi="宋体" w:eastAsia="宋体"/>
          <w:kern w:val="0"/>
          <w:szCs w:val="21"/>
        </w:rPr>
        <w:t>标准制定主持单位长春市畜牧总站、吉林大学，技术力量雄厚，多年来一直从事畜禽繁育改良、养殖技术推广、标准化生产、畜产品质量安全、畜禽种业研究等工作，特别是在肉牛养殖方面，承担了多个省级科研项目，在制定本标准上有着较好的预研数据及经验。标准制定主持单位组成了标准起草小组，组织单位技术骨干进行预研。</w:t>
      </w:r>
      <w:r>
        <w:rPr>
          <w:rFonts w:hint="eastAsia" w:ascii="宋体" w:hAnsi="宋体" w:eastAsia="宋体"/>
          <w:szCs w:val="21"/>
        </w:rPr>
        <w:t>标准制定协作单位吉林新兆农牧业有限责任公司，从事肉牛饲养育肥方面的工作，有着丰富的养殖经验</w:t>
      </w:r>
      <w:r>
        <w:rPr>
          <w:rFonts w:hint="eastAsia" w:ascii="宋体" w:hAnsi="宋体" w:eastAsia="宋体"/>
          <w:kern w:val="0"/>
          <w:szCs w:val="21"/>
        </w:rPr>
        <w:t>。</w:t>
      </w:r>
    </w:p>
    <w:p>
      <w:pPr>
        <w:widowControl/>
        <w:shd w:val="clear" w:color="auto" w:fill="FFFFFF"/>
        <w:spacing w:line="360" w:lineRule="auto"/>
        <w:ind w:firstLine="420"/>
        <w:rPr>
          <w:rFonts w:ascii="宋体" w:hAnsi="宋体" w:eastAsia="宋体"/>
          <w:color w:val="000000" w:themeColor="text1"/>
          <w:kern w:val="0"/>
          <w:szCs w:val="21"/>
          <w14:textFill>
            <w14:solidFill>
              <w14:schemeClr w14:val="tx1"/>
            </w14:solidFill>
          </w14:textFill>
        </w:rPr>
      </w:pPr>
      <w:r>
        <w:rPr>
          <w:rFonts w:hint="eastAsia" w:ascii="宋体" w:hAnsi="宋体" w:eastAsia="宋体"/>
          <w:kern w:val="0"/>
          <w:szCs w:val="21"/>
        </w:rPr>
        <w:t>标准起草小组从202</w:t>
      </w:r>
      <w:r>
        <w:rPr>
          <w:rFonts w:ascii="宋体" w:hAnsi="宋体" w:eastAsia="宋体"/>
          <w:kern w:val="0"/>
          <w:szCs w:val="21"/>
        </w:rPr>
        <w:t>3</w:t>
      </w:r>
      <w:r>
        <w:rPr>
          <w:rFonts w:hint="eastAsia" w:ascii="宋体" w:hAnsi="宋体" w:eastAsia="宋体"/>
          <w:kern w:val="0"/>
          <w:szCs w:val="21"/>
        </w:rPr>
        <w:t>年初开始收集、整理相关资料和文献，确定标准编写目标和依据，查阅了国内外相关技术报告</w:t>
      </w:r>
      <w:r>
        <w:rPr>
          <w:rFonts w:hint="eastAsia" w:ascii="宋体" w:hAnsi="宋体" w:eastAsia="宋体"/>
          <w:color w:val="000000" w:themeColor="text1"/>
          <w:kern w:val="0"/>
          <w:szCs w:val="21"/>
          <w14:textFill>
            <w14:solidFill>
              <w14:schemeClr w14:val="tx1"/>
            </w14:solidFill>
          </w14:textFill>
        </w:rPr>
        <w:t>和材料，</w:t>
      </w:r>
      <w:r>
        <w:rPr>
          <w:rFonts w:hint="eastAsia" w:ascii="宋体" w:hAnsi="宋体" w:eastAsia="宋体"/>
          <w:kern w:val="0"/>
          <w:szCs w:val="21"/>
        </w:rPr>
        <w:t>深入基层养牛场，对犊牛的育肥方式、饲养技术、营养需求以及疫病防控等情况进行了调研，以了解肉牛养殖场（户）育肥基本情况与质量需求。此后，标准起草小组查阅了大量的文献资料，并对国家标准、行业标准、地方标准和国外先进标准进行了联机检索工作，通过收集、整理和分析国内外在该研究领域的相关技术资料，在参照国内相关标准规范、规定的基础上形成了本标准</w:t>
      </w:r>
      <w:r>
        <w:rPr>
          <w:rFonts w:hint="eastAsia" w:ascii="宋体" w:hAnsi="宋体" w:eastAsia="宋体"/>
          <w:color w:val="000000" w:themeColor="text1"/>
          <w:kern w:val="0"/>
          <w:szCs w:val="21"/>
          <w14:textFill>
            <w14:solidFill>
              <w14:schemeClr w14:val="tx1"/>
            </w14:solidFill>
          </w14:textFill>
        </w:rPr>
        <w:t>的可行性报告。</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（二）立项阶段</w:t>
      </w:r>
    </w:p>
    <w:p>
      <w:pPr>
        <w:widowControl/>
        <w:spacing w:line="360" w:lineRule="auto"/>
        <w:ind w:firstLine="420" w:firstLineChars="200"/>
        <w:jc w:val="left"/>
        <w:rPr>
          <w:rFonts w:ascii="宋体" w:hAnsi="宋体" w:eastAsia="宋体"/>
          <w:kern w:val="0"/>
          <w:szCs w:val="21"/>
        </w:rPr>
      </w:pPr>
      <w:r>
        <w:rPr>
          <w:rFonts w:hint="eastAsia" w:ascii="宋体" w:hAnsi="宋体" w:eastAsia="宋体"/>
          <w:kern w:val="0"/>
          <w:szCs w:val="21"/>
        </w:rPr>
        <w:t>202</w:t>
      </w:r>
      <w:r>
        <w:rPr>
          <w:rFonts w:ascii="宋体" w:hAnsi="宋体" w:eastAsia="宋体"/>
          <w:kern w:val="0"/>
          <w:szCs w:val="21"/>
        </w:rPr>
        <w:t>4</w:t>
      </w:r>
      <w:r>
        <w:rPr>
          <w:rFonts w:hint="eastAsia" w:ascii="宋体" w:hAnsi="宋体" w:eastAsia="宋体"/>
          <w:kern w:val="0"/>
          <w:szCs w:val="21"/>
        </w:rPr>
        <w:t>年2月，长春市市场监督管理局印发了《长春市市场监督管理局关于印发</w:t>
      </w:r>
      <w:r>
        <w:rPr>
          <w:rFonts w:ascii="宋体" w:hAnsi="宋体" w:eastAsia="宋体"/>
          <w:kern w:val="0"/>
          <w:szCs w:val="21"/>
        </w:rPr>
        <w:t>2024年长春市地方标准立项指南的通知》（长市监〔2024〕24号）</w:t>
      </w:r>
      <w:r>
        <w:rPr>
          <w:rFonts w:hint="eastAsia" w:ascii="宋体" w:hAnsi="宋体" w:eastAsia="宋体"/>
          <w:kern w:val="0"/>
          <w:szCs w:val="21"/>
        </w:rPr>
        <w:t>，下达了长春市地方标准制修订任务。长春市畜牧总站向长春市市场监督管理局提出申请，申报《肉牛饲养技术规范</w:t>
      </w:r>
      <w:r>
        <w:rPr>
          <w:rFonts w:ascii="宋体" w:hAnsi="宋体" w:eastAsia="宋体"/>
          <w:kern w:val="0"/>
          <w:szCs w:val="21"/>
        </w:rPr>
        <w:t xml:space="preserve"> 第3部分：育肥犊牛</w:t>
      </w:r>
      <w:r>
        <w:rPr>
          <w:rFonts w:hint="eastAsia" w:ascii="宋体" w:hAnsi="宋体" w:eastAsia="宋体"/>
          <w:kern w:val="0"/>
          <w:szCs w:val="21"/>
        </w:rPr>
        <w:t>》。经论证审批，长春市市场监督管理局《关于202</w:t>
      </w:r>
      <w:r>
        <w:rPr>
          <w:rFonts w:ascii="宋体" w:hAnsi="宋体" w:eastAsia="宋体"/>
          <w:kern w:val="0"/>
          <w:szCs w:val="21"/>
        </w:rPr>
        <w:t>4</w:t>
      </w:r>
      <w:r>
        <w:rPr>
          <w:rFonts w:hint="eastAsia" w:ascii="宋体" w:hAnsi="宋体" w:eastAsia="宋体"/>
          <w:kern w:val="0"/>
          <w:szCs w:val="21"/>
        </w:rPr>
        <w:t>年度长春地方标准制定项目计划的通知》下达本项目计划，编号为：DBXM</w:t>
      </w:r>
      <w:r>
        <w:rPr>
          <w:rFonts w:ascii="宋体" w:hAnsi="宋体" w:eastAsia="宋体"/>
          <w:kern w:val="0"/>
          <w:szCs w:val="21"/>
        </w:rPr>
        <w:t>07</w:t>
      </w:r>
      <w:r>
        <w:rPr>
          <w:rFonts w:hint="eastAsia" w:ascii="宋体" w:hAnsi="宋体" w:eastAsia="宋体"/>
          <w:kern w:val="0"/>
          <w:szCs w:val="21"/>
        </w:rPr>
        <w:t>—202</w:t>
      </w:r>
      <w:r>
        <w:rPr>
          <w:rFonts w:ascii="宋体" w:hAnsi="宋体" w:eastAsia="宋体"/>
          <w:kern w:val="0"/>
          <w:szCs w:val="21"/>
        </w:rPr>
        <w:t>4</w:t>
      </w:r>
      <w:r>
        <w:rPr>
          <w:rFonts w:hint="eastAsia" w:ascii="宋体" w:hAnsi="宋体" w:eastAsia="宋体"/>
          <w:kern w:val="0"/>
          <w:szCs w:val="21"/>
        </w:rPr>
        <w:t>，名称为：《肉牛饲养技术规范</w:t>
      </w:r>
      <w:r>
        <w:rPr>
          <w:rFonts w:ascii="宋体" w:hAnsi="宋体" w:eastAsia="宋体"/>
          <w:kern w:val="0"/>
          <w:szCs w:val="21"/>
        </w:rPr>
        <w:t xml:space="preserve"> 第3部分：育肥犊牛</w:t>
      </w:r>
      <w:r>
        <w:rPr>
          <w:rFonts w:hint="eastAsia" w:ascii="宋体" w:hAnsi="宋体" w:eastAsia="宋体"/>
          <w:kern w:val="0"/>
          <w:szCs w:val="21"/>
        </w:rPr>
        <w:t>》。</w:t>
      </w:r>
    </w:p>
    <w:p>
      <w:pPr>
        <w:autoSpaceDE w:val="0"/>
        <w:autoSpaceDN w:val="0"/>
        <w:adjustRightInd w:val="0"/>
        <w:spacing w:line="360" w:lineRule="auto"/>
        <w:ind w:firstLine="420" w:firstLineChars="200"/>
        <w:rPr>
          <w:rFonts w:ascii="宋体" w:hAnsi="宋体" w:eastAsia="宋体"/>
          <w:kern w:val="0"/>
          <w:szCs w:val="21"/>
        </w:rPr>
      </w:pPr>
      <w:r>
        <w:rPr>
          <w:rFonts w:hint="eastAsia" w:ascii="宋体" w:hAnsi="宋体" w:eastAsia="宋体"/>
          <w:kern w:val="0"/>
          <w:szCs w:val="21"/>
        </w:rPr>
        <w:t>（三）起草阶段</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1、成立起草小组</w:t>
      </w:r>
    </w:p>
    <w:p>
      <w:pPr>
        <w:widowControl/>
        <w:spacing w:line="360" w:lineRule="auto"/>
        <w:ind w:firstLine="420" w:firstLineChars="200"/>
        <w:rPr>
          <w:rFonts w:ascii="宋体" w:hAnsi="宋体" w:eastAsia="宋体"/>
          <w:szCs w:val="21"/>
        </w:rPr>
      </w:pPr>
      <w:r>
        <w:rPr>
          <w:rFonts w:hint="eastAsia" w:ascii="宋体" w:hAnsi="宋体" w:eastAsia="宋体"/>
          <w:kern w:val="0"/>
          <w:szCs w:val="21"/>
        </w:rPr>
        <w:t>长春市畜牧总站成立了标准起草小组，确立了人员的职责分工，具体见表1。</w:t>
      </w:r>
    </w:p>
    <w:p>
      <w:pPr>
        <w:widowControl/>
        <w:spacing w:line="360" w:lineRule="auto"/>
        <w:jc w:val="center"/>
        <w:rPr>
          <w:rFonts w:ascii="宋体" w:hAnsi="宋体" w:eastAsia="宋体"/>
          <w:kern w:val="0"/>
          <w:szCs w:val="21"/>
        </w:rPr>
      </w:pPr>
      <w:r>
        <w:rPr>
          <w:rFonts w:hint="eastAsia" w:ascii="宋体" w:hAnsi="宋体" w:eastAsia="宋体"/>
          <w:szCs w:val="21"/>
        </w:rPr>
        <w:t xml:space="preserve">表1  </w:t>
      </w:r>
      <w:r>
        <w:rPr>
          <w:rFonts w:hint="eastAsia" w:ascii="宋体" w:hAnsi="宋体" w:eastAsia="宋体"/>
          <w:kern w:val="0"/>
          <w:szCs w:val="21"/>
        </w:rPr>
        <w:t>标准起草小组人员及分工</w:t>
      </w:r>
    </w:p>
    <w:tbl>
      <w:tblPr>
        <w:tblStyle w:val="8"/>
        <w:tblW w:w="90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6"/>
        <w:gridCol w:w="880"/>
        <w:gridCol w:w="870"/>
        <w:gridCol w:w="667"/>
        <w:gridCol w:w="867"/>
        <w:gridCol w:w="1776"/>
        <w:gridCol w:w="1510"/>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26" w:type="dxa"/>
            <w:vAlign w:val="center"/>
          </w:tcPr>
          <w:p>
            <w:pPr>
              <w:spacing w:line="360" w:lineRule="auto"/>
              <w:contextualSpacing/>
              <w:jc w:val="center"/>
              <w:rPr>
                <w:rFonts w:ascii="宋体" w:hAnsi="宋体" w:eastAsia="宋体"/>
                <w:szCs w:val="21"/>
              </w:rPr>
            </w:pPr>
            <w:r>
              <w:rPr>
                <w:rFonts w:hint="eastAsia" w:ascii="宋体" w:hAnsi="宋体" w:eastAsia="宋体"/>
                <w:szCs w:val="21"/>
              </w:rPr>
              <w:t>岗位</w:t>
            </w:r>
          </w:p>
        </w:tc>
        <w:tc>
          <w:tcPr>
            <w:tcW w:w="88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姓名</w:t>
            </w:r>
          </w:p>
        </w:tc>
        <w:tc>
          <w:tcPr>
            <w:tcW w:w="87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性别</w:t>
            </w:r>
          </w:p>
        </w:tc>
        <w:tc>
          <w:tcPr>
            <w:tcW w:w="667" w:type="dxa"/>
            <w:vAlign w:val="center"/>
          </w:tcPr>
          <w:p>
            <w:pPr>
              <w:spacing w:line="360" w:lineRule="auto"/>
              <w:contextualSpacing/>
              <w:jc w:val="center"/>
              <w:rPr>
                <w:rFonts w:ascii="宋体" w:hAnsi="宋体" w:eastAsia="宋体"/>
                <w:szCs w:val="21"/>
              </w:rPr>
            </w:pPr>
            <w:r>
              <w:rPr>
                <w:rFonts w:hint="eastAsia" w:ascii="宋体" w:hAnsi="宋体" w:eastAsia="宋体"/>
                <w:szCs w:val="21"/>
              </w:rPr>
              <w:t>年龄</w:t>
            </w:r>
          </w:p>
        </w:tc>
        <w:tc>
          <w:tcPr>
            <w:tcW w:w="867" w:type="dxa"/>
            <w:vAlign w:val="center"/>
          </w:tcPr>
          <w:p>
            <w:pPr>
              <w:spacing w:line="360" w:lineRule="auto"/>
              <w:contextualSpacing/>
              <w:jc w:val="center"/>
              <w:rPr>
                <w:rFonts w:ascii="宋体" w:hAnsi="宋体" w:eastAsia="宋体"/>
                <w:szCs w:val="21"/>
              </w:rPr>
            </w:pPr>
            <w:r>
              <w:rPr>
                <w:rFonts w:hint="eastAsia" w:ascii="宋体" w:hAnsi="宋体" w:eastAsia="宋体"/>
                <w:szCs w:val="21"/>
              </w:rPr>
              <w:t>专业</w:t>
            </w:r>
          </w:p>
        </w:tc>
        <w:tc>
          <w:tcPr>
            <w:tcW w:w="1776" w:type="dxa"/>
            <w:vAlign w:val="center"/>
          </w:tcPr>
          <w:p>
            <w:pPr>
              <w:spacing w:line="360" w:lineRule="auto"/>
              <w:contextualSpacing/>
              <w:jc w:val="center"/>
              <w:rPr>
                <w:rFonts w:ascii="宋体" w:hAnsi="宋体" w:eastAsia="宋体"/>
                <w:szCs w:val="21"/>
              </w:rPr>
            </w:pPr>
            <w:r>
              <w:rPr>
                <w:rFonts w:hint="eastAsia" w:ascii="宋体" w:hAnsi="宋体" w:eastAsia="宋体"/>
                <w:szCs w:val="21"/>
              </w:rPr>
              <w:t>所 在 单 位</w:t>
            </w:r>
          </w:p>
        </w:tc>
        <w:tc>
          <w:tcPr>
            <w:tcW w:w="151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职称</w:t>
            </w:r>
          </w:p>
        </w:tc>
        <w:tc>
          <w:tcPr>
            <w:tcW w:w="1705" w:type="dxa"/>
            <w:vAlign w:val="center"/>
          </w:tcPr>
          <w:p>
            <w:pPr>
              <w:spacing w:line="360" w:lineRule="auto"/>
              <w:contextualSpacing/>
              <w:jc w:val="center"/>
              <w:rPr>
                <w:rFonts w:ascii="宋体" w:hAnsi="宋体" w:eastAsia="宋体"/>
                <w:szCs w:val="21"/>
              </w:rPr>
            </w:pPr>
            <w:r>
              <w:rPr>
                <w:rFonts w:hint="eastAsia" w:ascii="宋体" w:hAnsi="宋体" w:eastAsia="宋体"/>
                <w:szCs w:val="21"/>
              </w:rPr>
              <w:t>主要职责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26" w:type="dxa"/>
            <w:vAlign w:val="center"/>
          </w:tcPr>
          <w:p>
            <w:pPr>
              <w:spacing w:line="360" w:lineRule="auto"/>
              <w:contextualSpacing/>
              <w:jc w:val="center"/>
              <w:rPr>
                <w:rFonts w:ascii="宋体" w:hAnsi="宋体" w:eastAsia="宋体"/>
                <w:szCs w:val="21"/>
              </w:rPr>
            </w:pPr>
            <w:r>
              <w:rPr>
                <w:rFonts w:hint="eastAsia" w:asciiTheme="minorEastAsia" w:hAnsiTheme="minorEastAsia" w:cstheme="minorEastAsia"/>
                <w:szCs w:val="21"/>
              </w:rPr>
              <w:t>组长</w:t>
            </w:r>
          </w:p>
        </w:tc>
        <w:tc>
          <w:tcPr>
            <w:tcW w:w="88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张晶</w:t>
            </w:r>
          </w:p>
        </w:tc>
        <w:tc>
          <w:tcPr>
            <w:tcW w:w="87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女</w:t>
            </w:r>
          </w:p>
        </w:tc>
        <w:tc>
          <w:tcPr>
            <w:tcW w:w="667" w:type="dxa"/>
            <w:vAlign w:val="center"/>
          </w:tcPr>
          <w:p>
            <w:pPr>
              <w:spacing w:line="360" w:lineRule="auto"/>
              <w:contextualSpacing/>
              <w:jc w:val="center"/>
              <w:rPr>
                <w:rFonts w:ascii="宋体" w:hAnsi="宋体" w:eastAsia="宋体"/>
                <w:szCs w:val="21"/>
              </w:rPr>
            </w:pPr>
            <w:r>
              <w:rPr>
                <w:rFonts w:hint="eastAsia" w:ascii="宋体" w:hAnsi="宋体" w:eastAsia="宋体"/>
                <w:szCs w:val="21"/>
              </w:rPr>
              <w:t>4</w:t>
            </w:r>
            <w:r>
              <w:rPr>
                <w:rFonts w:ascii="宋体" w:hAnsi="宋体" w:eastAsia="宋体"/>
                <w:szCs w:val="21"/>
              </w:rPr>
              <w:t>8</w:t>
            </w:r>
          </w:p>
        </w:tc>
        <w:tc>
          <w:tcPr>
            <w:tcW w:w="867" w:type="dxa"/>
            <w:vAlign w:val="center"/>
          </w:tcPr>
          <w:p>
            <w:pPr>
              <w:spacing w:line="360" w:lineRule="auto"/>
              <w:contextualSpacing/>
              <w:jc w:val="center"/>
              <w:rPr>
                <w:rFonts w:ascii="宋体" w:hAnsi="宋体" w:eastAsia="宋体"/>
                <w:szCs w:val="21"/>
              </w:rPr>
            </w:pPr>
            <w:r>
              <w:rPr>
                <w:rFonts w:hint="eastAsia" w:ascii="宋体" w:hAnsi="宋体" w:eastAsia="宋体"/>
                <w:szCs w:val="21"/>
              </w:rPr>
              <w:t>畜牧</w:t>
            </w:r>
          </w:p>
        </w:tc>
        <w:tc>
          <w:tcPr>
            <w:tcW w:w="1776" w:type="dxa"/>
            <w:vAlign w:val="center"/>
          </w:tcPr>
          <w:p>
            <w:pPr>
              <w:spacing w:line="360" w:lineRule="auto"/>
              <w:contextualSpacing/>
              <w:jc w:val="center"/>
              <w:rPr>
                <w:rFonts w:ascii="宋体" w:hAnsi="宋体" w:eastAsia="宋体"/>
                <w:szCs w:val="21"/>
              </w:rPr>
            </w:pPr>
            <w:r>
              <w:rPr>
                <w:rFonts w:hint="eastAsia" w:ascii="宋体" w:hAnsi="宋体" w:eastAsia="宋体"/>
                <w:szCs w:val="21"/>
              </w:rPr>
              <w:t>吉林大学</w:t>
            </w:r>
          </w:p>
        </w:tc>
        <w:tc>
          <w:tcPr>
            <w:tcW w:w="151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教授</w:t>
            </w:r>
          </w:p>
        </w:tc>
        <w:tc>
          <w:tcPr>
            <w:tcW w:w="1705" w:type="dxa"/>
            <w:vAlign w:val="center"/>
          </w:tcPr>
          <w:p>
            <w:pPr>
              <w:spacing w:line="360" w:lineRule="auto"/>
              <w:contextualSpacing/>
              <w:jc w:val="center"/>
              <w:rPr>
                <w:rFonts w:ascii="宋体" w:hAnsi="宋体" w:eastAsia="宋体"/>
                <w:szCs w:val="21"/>
              </w:rPr>
            </w:pPr>
            <w:r>
              <w:rPr>
                <w:rFonts w:hint="eastAsia" w:ascii="宋体" w:hAnsi="宋体" w:eastAsia="宋体"/>
                <w:szCs w:val="21"/>
              </w:rPr>
              <w:t>负责全面工作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726" w:type="dxa"/>
            <w:vAlign w:val="center"/>
          </w:tcPr>
          <w:p>
            <w:pPr>
              <w:spacing w:line="360" w:lineRule="auto"/>
              <w:jc w:val="center"/>
              <w:rPr>
                <w:rFonts w:ascii="宋体" w:hAnsi="宋体" w:eastAsia="宋体"/>
                <w:szCs w:val="21"/>
              </w:rPr>
            </w:pPr>
            <w:r>
              <w:rPr>
                <w:rFonts w:hint="eastAsia" w:ascii="宋体" w:hAnsi="宋体" w:eastAsia="宋体"/>
                <w:szCs w:val="21"/>
              </w:rPr>
              <w:t>组员</w:t>
            </w:r>
          </w:p>
        </w:tc>
        <w:tc>
          <w:tcPr>
            <w:tcW w:w="88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许春彦</w:t>
            </w:r>
          </w:p>
        </w:tc>
        <w:tc>
          <w:tcPr>
            <w:tcW w:w="87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女</w:t>
            </w:r>
          </w:p>
        </w:tc>
        <w:tc>
          <w:tcPr>
            <w:tcW w:w="667" w:type="dxa"/>
            <w:vAlign w:val="center"/>
          </w:tcPr>
          <w:p>
            <w:pPr>
              <w:spacing w:line="360" w:lineRule="auto"/>
              <w:contextualSpacing/>
              <w:jc w:val="center"/>
              <w:rPr>
                <w:rFonts w:ascii="宋体" w:hAnsi="宋体" w:eastAsia="宋体"/>
                <w:szCs w:val="21"/>
              </w:rPr>
            </w:pPr>
            <w:r>
              <w:rPr>
                <w:rFonts w:hint="eastAsia" w:ascii="宋体" w:hAnsi="宋体" w:eastAsia="宋体"/>
                <w:szCs w:val="21"/>
              </w:rPr>
              <w:t>52</w:t>
            </w:r>
          </w:p>
        </w:tc>
        <w:tc>
          <w:tcPr>
            <w:tcW w:w="867" w:type="dxa"/>
            <w:vAlign w:val="center"/>
          </w:tcPr>
          <w:p>
            <w:pPr>
              <w:spacing w:line="360" w:lineRule="auto"/>
              <w:contextualSpacing/>
              <w:jc w:val="center"/>
              <w:rPr>
                <w:rFonts w:ascii="宋体" w:hAnsi="宋体" w:eastAsia="宋体"/>
                <w:szCs w:val="21"/>
              </w:rPr>
            </w:pPr>
            <w:r>
              <w:rPr>
                <w:rFonts w:hint="eastAsia" w:ascii="宋体" w:hAnsi="宋体" w:eastAsia="宋体"/>
                <w:szCs w:val="21"/>
              </w:rPr>
              <w:t>畜牧</w:t>
            </w:r>
          </w:p>
        </w:tc>
        <w:tc>
          <w:tcPr>
            <w:tcW w:w="1776" w:type="dxa"/>
            <w:vAlign w:val="center"/>
          </w:tcPr>
          <w:p>
            <w:pPr>
              <w:spacing w:line="360" w:lineRule="auto"/>
              <w:contextualSpacing/>
              <w:jc w:val="center"/>
              <w:rPr>
                <w:rFonts w:ascii="宋体" w:hAnsi="宋体" w:eastAsia="宋体"/>
                <w:szCs w:val="21"/>
              </w:rPr>
            </w:pPr>
            <w:r>
              <w:rPr>
                <w:rFonts w:hint="eastAsia" w:ascii="宋体" w:hAnsi="宋体" w:eastAsia="宋体"/>
                <w:szCs w:val="21"/>
              </w:rPr>
              <w:t>长春市畜牧总站</w:t>
            </w:r>
          </w:p>
        </w:tc>
        <w:tc>
          <w:tcPr>
            <w:tcW w:w="151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正高级畜牧师</w:t>
            </w:r>
          </w:p>
        </w:tc>
        <w:tc>
          <w:tcPr>
            <w:tcW w:w="1705" w:type="dxa"/>
          </w:tcPr>
          <w:p>
            <w:pPr>
              <w:spacing w:line="360" w:lineRule="auto"/>
              <w:contextualSpacing/>
              <w:jc w:val="center"/>
              <w:rPr>
                <w:rFonts w:ascii="宋体" w:hAnsi="宋体" w:eastAsia="宋体"/>
                <w:szCs w:val="21"/>
              </w:rPr>
            </w:pPr>
            <w:r>
              <w:rPr>
                <w:rFonts w:hint="eastAsia" w:ascii="宋体" w:hAnsi="宋体" w:eastAsia="宋体"/>
                <w:szCs w:val="21"/>
              </w:rPr>
              <w:t>章节编写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726" w:type="dxa"/>
            <w:vAlign w:val="center"/>
          </w:tcPr>
          <w:p>
            <w:pPr>
              <w:spacing w:line="360" w:lineRule="auto"/>
              <w:jc w:val="center"/>
              <w:rPr>
                <w:rFonts w:ascii="宋体" w:hAnsi="宋体" w:eastAsia="宋体"/>
                <w:szCs w:val="21"/>
              </w:rPr>
            </w:pPr>
            <w:r>
              <w:rPr>
                <w:rFonts w:hint="eastAsia" w:ascii="宋体" w:hAnsi="宋体" w:eastAsia="宋体"/>
                <w:szCs w:val="21"/>
              </w:rPr>
              <w:t>组员</w:t>
            </w:r>
          </w:p>
        </w:tc>
        <w:tc>
          <w:tcPr>
            <w:tcW w:w="88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李晓微</w:t>
            </w:r>
          </w:p>
        </w:tc>
        <w:tc>
          <w:tcPr>
            <w:tcW w:w="87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女</w:t>
            </w:r>
          </w:p>
        </w:tc>
        <w:tc>
          <w:tcPr>
            <w:tcW w:w="667" w:type="dxa"/>
            <w:vAlign w:val="center"/>
          </w:tcPr>
          <w:p>
            <w:pPr>
              <w:spacing w:line="360" w:lineRule="auto"/>
              <w:contextualSpacing/>
              <w:jc w:val="center"/>
              <w:rPr>
                <w:rFonts w:ascii="宋体" w:hAnsi="宋体" w:eastAsia="宋体"/>
                <w:szCs w:val="21"/>
              </w:rPr>
            </w:pPr>
            <w:r>
              <w:rPr>
                <w:rFonts w:hint="eastAsia" w:ascii="宋体" w:hAnsi="宋体" w:eastAsia="宋体"/>
                <w:szCs w:val="21"/>
              </w:rPr>
              <w:t>3</w:t>
            </w:r>
            <w:r>
              <w:rPr>
                <w:rFonts w:ascii="宋体" w:hAnsi="宋体" w:eastAsia="宋体"/>
                <w:szCs w:val="21"/>
              </w:rPr>
              <w:t>8</w:t>
            </w:r>
          </w:p>
        </w:tc>
        <w:tc>
          <w:tcPr>
            <w:tcW w:w="867" w:type="dxa"/>
            <w:vAlign w:val="center"/>
          </w:tcPr>
          <w:p>
            <w:pPr>
              <w:spacing w:line="360" w:lineRule="auto"/>
              <w:contextualSpacing/>
              <w:jc w:val="center"/>
              <w:rPr>
                <w:rFonts w:ascii="宋体" w:hAnsi="宋体" w:eastAsia="宋体"/>
                <w:szCs w:val="21"/>
              </w:rPr>
            </w:pPr>
            <w:r>
              <w:rPr>
                <w:rFonts w:hint="eastAsia" w:ascii="宋体" w:hAnsi="宋体" w:eastAsia="宋体"/>
                <w:szCs w:val="21"/>
              </w:rPr>
              <w:t>畜牧</w:t>
            </w:r>
          </w:p>
        </w:tc>
        <w:tc>
          <w:tcPr>
            <w:tcW w:w="1776" w:type="dxa"/>
            <w:vAlign w:val="center"/>
          </w:tcPr>
          <w:p>
            <w:pPr>
              <w:spacing w:line="360" w:lineRule="auto"/>
              <w:contextualSpacing/>
              <w:jc w:val="center"/>
              <w:rPr>
                <w:rFonts w:ascii="宋体" w:hAnsi="宋体" w:eastAsia="宋体"/>
                <w:szCs w:val="21"/>
              </w:rPr>
            </w:pPr>
            <w:r>
              <w:rPr>
                <w:rFonts w:hint="eastAsia" w:ascii="宋体" w:hAnsi="宋体" w:eastAsia="宋体"/>
                <w:szCs w:val="21"/>
              </w:rPr>
              <w:t>长春市标准研究院（长春市</w:t>
            </w:r>
            <w:r>
              <w:rPr>
                <w:rFonts w:ascii="宋体" w:hAnsi="宋体" w:eastAsia="宋体"/>
                <w:szCs w:val="21"/>
              </w:rPr>
              <w:t>WTO/TBT咨询中心）</w:t>
            </w:r>
          </w:p>
        </w:tc>
        <w:tc>
          <w:tcPr>
            <w:tcW w:w="151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标准化工程师</w:t>
            </w:r>
          </w:p>
        </w:tc>
        <w:tc>
          <w:tcPr>
            <w:tcW w:w="1705" w:type="dxa"/>
          </w:tcPr>
          <w:p>
            <w:pPr>
              <w:spacing w:line="360" w:lineRule="auto"/>
              <w:contextualSpacing/>
              <w:jc w:val="center"/>
              <w:rPr>
                <w:rFonts w:ascii="宋体" w:hAnsi="宋体" w:eastAsia="宋体"/>
                <w:szCs w:val="21"/>
              </w:rPr>
            </w:pPr>
            <w:r>
              <w:rPr>
                <w:rFonts w:hint="eastAsia" w:ascii="宋体" w:hAnsi="宋体" w:eastAsia="宋体"/>
                <w:szCs w:val="21"/>
              </w:rPr>
              <w:t>标准文本审核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26" w:type="dxa"/>
            <w:vAlign w:val="center"/>
          </w:tcPr>
          <w:p>
            <w:pPr>
              <w:spacing w:line="360" w:lineRule="auto"/>
              <w:contextualSpacing/>
              <w:jc w:val="center"/>
              <w:rPr>
                <w:rFonts w:ascii="宋体" w:hAnsi="宋体" w:eastAsia="宋体"/>
                <w:szCs w:val="21"/>
              </w:rPr>
            </w:pPr>
            <w:r>
              <w:rPr>
                <w:rFonts w:hint="eastAsia" w:ascii="宋体" w:hAnsi="宋体" w:eastAsia="宋体"/>
                <w:szCs w:val="21"/>
              </w:rPr>
              <w:t>组员</w:t>
            </w:r>
          </w:p>
        </w:tc>
        <w:tc>
          <w:tcPr>
            <w:tcW w:w="88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王传奇</w:t>
            </w:r>
          </w:p>
        </w:tc>
        <w:tc>
          <w:tcPr>
            <w:tcW w:w="87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男</w:t>
            </w:r>
          </w:p>
        </w:tc>
        <w:tc>
          <w:tcPr>
            <w:tcW w:w="667" w:type="dxa"/>
            <w:vAlign w:val="center"/>
          </w:tcPr>
          <w:p>
            <w:pPr>
              <w:spacing w:line="360" w:lineRule="auto"/>
              <w:contextualSpacing/>
              <w:jc w:val="center"/>
              <w:rPr>
                <w:rFonts w:ascii="宋体" w:hAnsi="宋体" w:eastAsia="宋体"/>
                <w:szCs w:val="21"/>
              </w:rPr>
            </w:pPr>
            <w:r>
              <w:rPr>
                <w:rFonts w:hint="eastAsia" w:ascii="宋体" w:hAnsi="宋体" w:eastAsia="宋体"/>
                <w:szCs w:val="21"/>
              </w:rPr>
              <w:t>3</w:t>
            </w:r>
            <w:r>
              <w:rPr>
                <w:rFonts w:ascii="宋体" w:hAnsi="宋体" w:eastAsia="宋体"/>
                <w:szCs w:val="21"/>
              </w:rPr>
              <w:t>2</w:t>
            </w:r>
          </w:p>
        </w:tc>
        <w:tc>
          <w:tcPr>
            <w:tcW w:w="867" w:type="dxa"/>
            <w:vAlign w:val="center"/>
          </w:tcPr>
          <w:p>
            <w:pPr>
              <w:spacing w:line="360" w:lineRule="auto"/>
              <w:contextualSpacing/>
              <w:jc w:val="center"/>
              <w:rPr>
                <w:rFonts w:ascii="宋体" w:hAnsi="宋体" w:eastAsia="宋体"/>
                <w:szCs w:val="21"/>
              </w:rPr>
            </w:pPr>
            <w:r>
              <w:rPr>
                <w:rFonts w:hint="eastAsia" w:ascii="宋体" w:hAnsi="宋体" w:eastAsia="宋体"/>
                <w:szCs w:val="21"/>
              </w:rPr>
              <w:t>畜牧</w:t>
            </w:r>
          </w:p>
        </w:tc>
        <w:tc>
          <w:tcPr>
            <w:tcW w:w="1776" w:type="dxa"/>
            <w:vAlign w:val="center"/>
          </w:tcPr>
          <w:p>
            <w:pPr>
              <w:spacing w:line="360" w:lineRule="auto"/>
              <w:contextualSpacing/>
              <w:jc w:val="center"/>
              <w:rPr>
                <w:rFonts w:ascii="宋体" w:hAnsi="宋体" w:eastAsia="宋体"/>
                <w:szCs w:val="21"/>
              </w:rPr>
            </w:pPr>
            <w:r>
              <w:rPr>
                <w:rFonts w:hint="eastAsia" w:ascii="宋体" w:hAnsi="宋体" w:eastAsia="宋体"/>
                <w:szCs w:val="21"/>
              </w:rPr>
              <w:t>吉林大学</w:t>
            </w:r>
          </w:p>
        </w:tc>
        <w:tc>
          <w:tcPr>
            <w:tcW w:w="151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讲师</w:t>
            </w:r>
          </w:p>
        </w:tc>
        <w:tc>
          <w:tcPr>
            <w:tcW w:w="1705" w:type="dxa"/>
            <w:vAlign w:val="center"/>
          </w:tcPr>
          <w:p>
            <w:pPr>
              <w:spacing w:line="360" w:lineRule="auto"/>
              <w:contextualSpacing/>
              <w:jc w:val="center"/>
              <w:rPr>
                <w:rFonts w:ascii="宋体" w:hAnsi="宋体" w:eastAsia="宋体"/>
                <w:szCs w:val="21"/>
              </w:rPr>
            </w:pPr>
            <w:r>
              <w:rPr>
                <w:rFonts w:hint="eastAsia" w:ascii="宋体" w:hAnsi="宋体" w:eastAsia="宋体"/>
                <w:szCs w:val="21"/>
              </w:rPr>
              <w:t>章节编写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26" w:type="dxa"/>
            <w:vAlign w:val="center"/>
          </w:tcPr>
          <w:p>
            <w:pPr>
              <w:spacing w:line="360" w:lineRule="auto"/>
              <w:contextualSpacing/>
              <w:jc w:val="center"/>
              <w:rPr>
                <w:rFonts w:ascii="宋体" w:hAnsi="宋体" w:eastAsia="宋体"/>
                <w:szCs w:val="21"/>
              </w:rPr>
            </w:pPr>
            <w:r>
              <w:rPr>
                <w:rFonts w:hint="eastAsia" w:ascii="宋体" w:hAnsi="宋体" w:eastAsia="宋体"/>
                <w:szCs w:val="21"/>
              </w:rPr>
              <w:t>组员</w:t>
            </w:r>
          </w:p>
        </w:tc>
        <w:tc>
          <w:tcPr>
            <w:tcW w:w="880"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刘畅</w:t>
            </w:r>
          </w:p>
        </w:tc>
        <w:tc>
          <w:tcPr>
            <w:tcW w:w="870"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女</w:t>
            </w:r>
          </w:p>
        </w:tc>
        <w:tc>
          <w:tcPr>
            <w:tcW w:w="667"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29</w:t>
            </w:r>
          </w:p>
        </w:tc>
        <w:tc>
          <w:tcPr>
            <w:tcW w:w="867"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畜牧</w:t>
            </w:r>
          </w:p>
        </w:tc>
        <w:tc>
          <w:tcPr>
            <w:tcW w:w="1776"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长春市畜牧总站</w:t>
            </w:r>
          </w:p>
        </w:tc>
        <w:tc>
          <w:tcPr>
            <w:tcW w:w="1510"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畜牧师</w:t>
            </w:r>
          </w:p>
        </w:tc>
        <w:tc>
          <w:tcPr>
            <w:tcW w:w="1705" w:type="dxa"/>
            <w:vAlign w:val="center"/>
          </w:tcPr>
          <w:p>
            <w:pPr>
              <w:spacing w:line="360" w:lineRule="auto"/>
              <w:contextualSpacing/>
              <w:jc w:val="center"/>
              <w:rPr>
                <w:rFonts w:ascii="宋体" w:hAnsi="宋体" w:eastAsia="宋体"/>
                <w:szCs w:val="21"/>
              </w:rPr>
            </w:pPr>
            <w:r>
              <w:rPr>
                <w:rFonts w:hint="eastAsia" w:ascii="宋体" w:hAnsi="宋体" w:eastAsia="宋体"/>
                <w:szCs w:val="21"/>
              </w:rPr>
              <w:t>资料收集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26" w:type="dxa"/>
            <w:vAlign w:val="center"/>
          </w:tcPr>
          <w:p>
            <w:pPr>
              <w:spacing w:line="360" w:lineRule="auto"/>
              <w:contextualSpacing/>
              <w:jc w:val="center"/>
              <w:rPr>
                <w:rFonts w:ascii="宋体" w:hAnsi="宋体" w:eastAsia="宋体"/>
                <w:szCs w:val="21"/>
              </w:rPr>
            </w:pPr>
            <w:r>
              <w:rPr>
                <w:rFonts w:hint="eastAsia" w:ascii="宋体" w:hAnsi="宋体" w:eastAsia="宋体"/>
                <w:szCs w:val="21"/>
              </w:rPr>
              <w:t>组员</w:t>
            </w:r>
          </w:p>
        </w:tc>
        <w:tc>
          <w:tcPr>
            <w:tcW w:w="88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房恒通</w:t>
            </w:r>
          </w:p>
        </w:tc>
        <w:tc>
          <w:tcPr>
            <w:tcW w:w="87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男</w:t>
            </w:r>
          </w:p>
        </w:tc>
        <w:tc>
          <w:tcPr>
            <w:tcW w:w="667" w:type="dxa"/>
            <w:vAlign w:val="center"/>
          </w:tcPr>
          <w:p>
            <w:pPr>
              <w:spacing w:line="360" w:lineRule="auto"/>
              <w:contextualSpacing/>
              <w:jc w:val="center"/>
              <w:rPr>
                <w:rFonts w:ascii="宋体" w:hAnsi="宋体" w:eastAsia="宋体"/>
                <w:szCs w:val="21"/>
              </w:rPr>
            </w:pPr>
            <w:r>
              <w:rPr>
                <w:rFonts w:hint="eastAsia" w:ascii="宋体" w:hAnsi="宋体" w:eastAsia="宋体"/>
                <w:szCs w:val="21"/>
              </w:rPr>
              <w:t>4</w:t>
            </w:r>
            <w:r>
              <w:rPr>
                <w:rFonts w:ascii="宋体" w:hAnsi="宋体" w:eastAsia="宋体"/>
                <w:szCs w:val="21"/>
              </w:rPr>
              <w:t>2</w:t>
            </w:r>
          </w:p>
        </w:tc>
        <w:tc>
          <w:tcPr>
            <w:tcW w:w="867" w:type="dxa"/>
            <w:vAlign w:val="center"/>
          </w:tcPr>
          <w:p>
            <w:pPr>
              <w:spacing w:line="360" w:lineRule="auto"/>
              <w:contextualSpacing/>
              <w:jc w:val="center"/>
              <w:rPr>
                <w:rFonts w:ascii="宋体" w:hAnsi="宋体" w:eastAsia="宋体"/>
                <w:szCs w:val="21"/>
              </w:rPr>
            </w:pPr>
            <w:r>
              <w:rPr>
                <w:rFonts w:hint="eastAsia" w:ascii="宋体" w:hAnsi="宋体" w:eastAsia="宋体"/>
                <w:szCs w:val="21"/>
              </w:rPr>
              <w:t>畜牧</w:t>
            </w:r>
          </w:p>
        </w:tc>
        <w:tc>
          <w:tcPr>
            <w:tcW w:w="1776" w:type="dxa"/>
            <w:vAlign w:val="center"/>
          </w:tcPr>
          <w:p>
            <w:pPr>
              <w:spacing w:line="360" w:lineRule="auto"/>
              <w:contextualSpacing/>
              <w:jc w:val="center"/>
              <w:rPr>
                <w:rFonts w:ascii="宋体" w:hAnsi="宋体" w:eastAsia="宋体"/>
                <w:szCs w:val="21"/>
              </w:rPr>
            </w:pPr>
            <w:r>
              <w:rPr>
                <w:rFonts w:hint="eastAsia" w:ascii="宋体" w:hAnsi="宋体" w:eastAsia="宋体"/>
                <w:szCs w:val="21"/>
              </w:rPr>
              <w:t>吉林大学</w:t>
            </w:r>
          </w:p>
        </w:tc>
        <w:tc>
          <w:tcPr>
            <w:tcW w:w="151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副教授</w:t>
            </w:r>
          </w:p>
        </w:tc>
        <w:tc>
          <w:tcPr>
            <w:tcW w:w="1705" w:type="dxa"/>
            <w:vAlign w:val="center"/>
          </w:tcPr>
          <w:p>
            <w:pPr>
              <w:spacing w:line="360" w:lineRule="auto"/>
              <w:contextualSpacing/>
              <w:jc w:val="center"/>
              <w:rPr>
                <w:rFonts w:ascii="宋体" w:hAnsi="宋体" w:eastAsia="宋体"/>
                <w:szCs w:val="21"/>
              </w:rPr>
            </w:pPr>
            <w:r>
              <w:rPr>
                <w:rFonts w:hint="eastAsia" w:ascii="宋体" w:hAnsi="宋体" w:eastAsia="宋体"/>
                <w:szCs w:val="21"/>
              </w:rPr>
              <w:t>章节编写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26" w:type="dxa"/>
            <w:vAlign w:val="center"/>
          </w:tcPr>
          <w:p>
            <w:pPr>
              <w:spacing w:line="360" w:lineRule="auto"/>
              <w:contextualSpacing/>
              <w:jc w:val="center"/>
              <w:rPr>
                <w:rFonts w:ascii="宋体" w:hAnsi="宋体" w:eastAsia="宋体"/>
                <w:szCs w:val="21"/>
              </w:rPr>
            </w:pPr>
            <w:r>
              <w:rPr>
                <w:rFonts w:hint="eastAsia" w:ascii="宋体" w:hAnsi="宋体" w:eastAsia="宋体"/>
                <w:szCs w:val="21"/>
              </w:rPr>
              <w:t>组员</w:t>
            </w:r>
          </w:p>
        </w:tc>
        <w:tc>
          <w:tcPr>
            <w:tcW w:w="880"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杜佳励</w:t>
            </w:r>
          </w:p>
        </w:tc>
        <w:tc>
          <w:tcPr>
            <w:tcW w:w="870"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女</w:t>
            </w:r>
          </w:p>
        </w:tc>
        <w:tc>
          <w:tcPr>
            <w:tcW w:w="667"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31</w:t>
            </w:r>
          </w:p>
        </w:tc>
        <w:tc>
          <w:tcPr>
            <w:tcW w:w="867"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畜牧</w:t>
            </w:r>
          </w:p>
        </w:tc>
        <w:tc>
          <w:tcPr>
            <w:tcW w:w="1776"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长春市畜牧总站</w:t>
            </w:r>
          </w:p>
        </w:tc>
        <w:tc>
          <w:tcPr>
            <w:tcW w:w="1510"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助理畜牧师</w:t>
            </w:r>
          </w:p>
        </w:tc>
        <w:tc>
          <w:tcPr>
            <w:tcW w:w="1705" w:type="dxa"/>
            <w:vAlign w:val="center"/>
          </w:tcPr>
          <w:p>
            <w:pPr>
              <w:spacing w:line="360" w:lineRule="auto"/>
              <w:contextualSpacing/>
              <w:jc w:val="center"/>
              <w:rPr>
                <w:rFonts w:asciiTheme="minorEastAsia" w:hAnsiTheme="minorEastAsia" w:eastAsiaTheme="minorEastAsia" w:cstheme="minorEastAsia"/>
                <w:szCs w:val="21"/>
              </w:rPr>
            </w:pPr>
            <w:r>
              <w:rPr>
                <w:rFonts w:hint="eastAsia" w:ascii="宋体" w:hAnsi="宋体" w:eastAsia="宋体"/>
                <w:szCs w:val="21"/>
              </w:rPr>
              <w:t>资料收集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26" w:type="dxa"/>
            <w:vAlign w:val="center"/>
          </w:tcPr>
          <w:p>
            <w:pPr>
              <w:spacing w:line="360" w:lineRule="auto"/>
              <w:jc w:val="center"/>
              <w:rPr>
                <w:rFonts w:asciiTheme="minorEastAsia" w:hAnsiTheme="minorEastAsia" w:eastAsiaTheme="minorEastAsia" w:cstheme="minorEastAsia"/>
                <w:szCs w:val="21"/>
              </w:rPr>
            </w:pPr>
            <w:r>
              <w:rPr>
                <w:rFonts w:hint="eastAsia" w:ascii="宋体" w:hAnsi="宋体" w:eastAsia="宋体"/>
                <w:szCs w:val="21"/>
              </w:rPr>
              <w:t>组员</w:t>
            </w:r>
          </w:p>
        </w:tc>
        <w:tc>
          <w:tcPr>
            <w:tcW w:w="880"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徐微</w:t>
            </w:r>
          </w:p>
        </w:tc>
        <w:tc>
          <w:tcPr>
            <w:tcW w:w="870"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女</w:t>
            </w:r>
          </w:p>
        </w:tc>
        <w:tc>
          <w:tcPr>
            <w:tcW w:w="667"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27</w:t>
            </w:r>
          </w:p>
        </w:tc>
        <w:tc>
          <w:tcPr>
            <w:tcW w:w="867"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畜牧</w:t>
            </w:r>
          </w:p>
        </w:tc>
        <w:tc>
          <w:tcPr>
            <w:tcW w:w="1776"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长春市畜牧总站</w:t>
            </w:r>
          </w:p>
        </w:tc>
        <w:tc>
          <w:tcPr>
            <w:tcW w:w="1510"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助理畜牧师</w:t>
            </w:r>
          </w:p>
        </w:tc>
        <w:tc>
          <w:tcPr>
            <w:tcW w:w="1705" w:type="dxa"/>
            <w:vAlign w:val="center"/>
          </w:tcPr>
          <w:p>
            <w:pPr>
              <w:spacing w:line="360" w:lineRule="auto"/>
              <w:contextualSpacing/>
              <w:jc w:val="center"/>
              <w:rPr>
                <w:rFonts w:ascii="宋体" w:hAnsi="宋体" w:eastAsia="宋体"/>
                <w:szCs w:val="21"/>
              </w:rPr>
            </w:pPr>
            <w:r>
              <w:rPr>
                <w:rFonts w:hint="eastAsia" w:ascii="宋体" w:hAnsi="宋体" w:eastAsia="宋体"/>
                <w:szCs w:val="21"/>
              </w:rPr>
              <w:t>技术推广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26" w:type="dxa"/>
            <w:vAlign w:val="center"/>
          </w:tcPr>
          <w:p>
            <w:pPr>
              <w:spacing w:line="360" w:lineRule="auto"/>
              <w:jc w:val="center"/>
              <w:rPr>
                <w:rFonts w:asciiTheme="minorEastAsia" w:hAnsiTheme="minorEastAsia" w:eastAsiaTheme="minorEastAsia" w:cstheme="minorEastAsia"/>
                <w:szCs w:val="21"/>
              </w:rPr>
            </w:pPr>
            <w:r>
              <w:rPr>
                <w:rFonts w:hint="eastAsia" w:ascii="宋体" w:hAnsi="宋体" w:eastAsia="宋体"/>
                <w:szCs w:val="21"/>
              </w:rPr>
              <w:t>组员</w:t>
            </w:r>
          </w:p>
        </w:tc>
        <w:tc>
          <w:tcPr>
            <w:tcW w:w="880"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许晨光</w:t>
            </w:r>
          </w:p>
        </w:tc>
        <w:tc>
          <w:tcPr>
            <w:tcW w:w="870"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男</w:t>
            </w:r>
          </w:p>
        </w:tc>
        <w:tc>
          <w:tcPr>
            <w:tcW w:w="667"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30</w:t>
            </w:r>
          </w:p>
        </w:tc>
        <w:tc>
          <w:tcPr>
            <w:tcW w:w="867"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畜牧</w:t>
            </w:r>
          </w:p>
        </w:tc>
        <w:tc>
          <w:tcPr>
            <w:tcW w:w="1776"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长春市畜牧总站</w:t>
            </w:r>
          </w:p>
        </w:tc>
        <w:tc>
          <w:tcPr>
            <w:tcW w:w="1510" w:type="dxa"/>
            <w:vAlign w:val="center"/>
          </w:tcPr>
          <w:p>
            <w:pPr>
              <w:spacing w:line="360" w:lineRule="auto"/>
              <w:contextualSpacing/>
              <w:jc w:val="center"/>
              <w:rPr>
                <w:rFonts w:ascii="宋体" w:hAnsi="宋体" w:eastAsia="宋体" w:cstheme="minorBidi"/>
                <w:szCs w:val="21"/>
              </w:rPr>
            </w:pPr>
            <w:r>
              <w:rPr>
                <w:rFonts w:hint="eastAsia" w:ascii="宋体" w:hAnsi="宋体" w:eastAsia="宋体"/>
                <w:szCs w:val="21"/>
              </w:rPr>
              <w:t>畜牧师</w:t>
            </w:r>
          </w:p>
        </w:tc>
        <w:tc>
          <w:tcPr>
            <w:tcW w:w="1705" w:type="dxa"/>
            <w:vAlign w:val="center"/>
          </w:tcPr>
          <w:p>
            <w:pPr>
              <w:spacing w:line="360" w:lineRule="auto"/>
              <w:contextualSpacing/>
              <w:jc w:val="center"/>
              <w:rPr>
                <w:rFonts w:ascii="宋体" w:hAnsi="宋体" w:eastAsia="宋体"/>
                <w:szCs w:val="21"/>
              </w:rPr>
            </w:pPr>
            <w:r>
              <w:rPr>
                <w:rFonts w:hint="eastAsia" w:ascii="宋体" w:hAnsi="宋体" w:eastAsia="宋体"/>
                <w:szCs w:val="21"/>
              </w:rPr>
              <w:t>调研、标准查新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26" w:type="dxa"/>
            <w:vAlign w:val="center"/>
          </w:tcPr>
          <w:p>
            <w:pPr>
              <w:spacing w:line="360" w:lineRule="auto"/>
              <w:jc w:val="center"/>
              <w:rPr>
                <w:rFonts w:ascii="宋体" w:hAnsi="宋体" w:eastAsia="宋体"/>
                <w:szCs w:val="21"/>
              </w:rPr>
            </w:pPr>
            <w:r>
              <w:rPr>
                <w:rFonts w:hint="eastAsia" w:ascii="宋体" w:hAnsi="宋体" w:eastAsia="宋体"/>
                <w:szCs w:val="21"/>
              </w:rPr>
              <w:t>组员</w:t>
            </w:r>
          </w:p>
        </w:tc>
        <w:tc>
          <w:tcPr>
            <w:tcW w:w="88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杨延俊</w:t>
            </w:r>
          </w:p>
        </w:tc>
        <w:tc>
          <w:tcPr>
            <w:tcW w:w="87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男</w:t>
            </w:r>
          </w:p>
        </w:tc>
        <w:tc>
          <w:tcPr>
            <w:tcW w:w="667" w:type="dxa"/>
            <w:vAlign w:val="center"/>
          </w:tcPr>
          <w:p>
            <w:pPr>
              <w:spacing w:line="360" w:lineRule="auto"/>
              <w:contextualSpacing/>
              <w:jc w:val="center"/>
              <w:rPr>
                <w:rFonts w:ascii="宋体" w:hAnsi="宋体" w:eastAsia="宋体"/>
                <w:szCs w:val="21"/>
              </w:rPr>
            </w:pPr>
            <w:r>
              <w:rPr>
                <w:rFonts w:hint="eastAsia" w:ascii="宋体" w:hAnsi="宋体" w:eastAsia="宋体"/>
                <w:szCs w:val="21"/>
              </w:rPr>
              <w:t>5</w:t>
            </w:r>
            <w:r>
              <w:rPr>
                <w:rFonts w:ascii="宋体" w:hAnsi="宋体" w:eastAsia="宋体"/>
                <w:szCs w:val="21"/>
              </w:rPr>
              <w:t>4</w:t>
            </w:r>
          </w:p>
        </w:tc>
        <w:tc>
          <w:tcPr>
            <w:tcW w:w="867" w:type="dxa"/>
            <w:vAlign w:val="center"/>
          </w:tcPr>
          <w:p>
            <w:pPr>
              <w:spacing w:line="360" w:lineRule="auto"/>
              <w:contextualSpacing/>
              <w:jc w:val="center"/>
              <w:rPr>
                <w:rFonts w:ascii="宋体" w:hAnsi="宋体" w:eastAsia="宋体"/>
                <w:szCs w:val="21"/>
              </w:rPr>
            </w:pPr>
            <w:r>
              <w:rPr>
                <w:rFonts w:hint="eastAsia" w:ascii="宋体" w:hAnsi="宋体" w:eastAsia="宋体"/>
                <w:szCs w:val="21"/>
              </w:rPr>
              <w:t>畜牧兽医</w:t>
            </w:r>
          </w:p>
        </w:tc>
        <w:tc>
          <w:tcPr>
            <w:tcW w:w="1776" w:type="dxa"/>
            <w:vAlign w:val="center"/>
          </w:tcPr>
          <w:p>
            <w:pPr>
              <w:spacing w:line="360" w:lineRule="auto"/>
              <w:contextualSpacing/>
              <w:jc w:val="center"/>
              <w:rPr>
                <w:rFonts w:ascii="宋体" w:hAnsi="宋体" w:eastAsia="宋体"/>
                <w:szCs w:val="21"/>
              </w:rPr>
            </w:pPr>
            <w:r>
              <w:rPr>
                <w:rFonts w:hint="eastAsia" w:ascii="宋体" w:hAnsi="宋体" w:eastAsia="宋体"/>
                <w:szCs w:val="21"/>
              </w:rPr>
              <w:t>树市弓棚镇综合服务中心</w:t>
            </w:r>
          </w:p>
        </w:tc>
        <w:tc>
          <w:tcPr>
            <w:tcW w:w="151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高级兽医师</w:t>
            </w:r>
          </w:p>
        </w:tc>
        <w:tc>
          <w:tcPr>
            <w:tcW w:w="1705" w:type="dxa"/>
            <w:vAlign w:val="center"/>
          </w:tcPr>
          <w:p>
            <w:pPr>
              <w:spacing w:line="360" w:lineRule="auto"/>
              <w:contextualSpacing/>
              <w:jc w:val="center"/>
              <w:rPr>
                <w:rFonts w:ascii="宋体" w:hAnsi="宋体" w:eastAsia="宋体"/>
                <w:szCs w:val="21"/>
              </w:rPr>
            </w:pPr>
            <w:r>
              <w:rPr>
                <w:rFonts w:hint="eastAsia" w:ascii="宋体" w:hAnsi="宋体" w:eastAsia="宋体"/>
                <w:szCs w:val="21"/>
              </w:rPr>
              <w:t>审核意见反馈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26" w:type="dxa"/>
            <w:vAlign w:val="center"/>
          </w:tcPr>
          <w:p>
            <w:pPr>
              <w:spacing w:line="360" w:lineRule="auto"/>
              <w:jc w:val="center"/>
              <w:rPr>
                <w:rFonts w:ascii="宋体" w:hAnsi="宋体" w:eastAsia="宋体"/>
                <w:szCs w:val="21"/>
              </w:rPr>
            </w:pPr>
            <w:r>
              <w:rPr>
                <w:rFonts w:hint="eastAsia" w:ascii="宋体" w:hAnsi="宋体" w:eastAsia="宋体"/>
                <w:szCs w:val="21"/>
              </w:rPr>
              <w:t>组员</w:t>
            </w:r>
          </w:p>
        </w:tc>
        <w:tc>
          <w:tcPr>
            <w:tcW w:w="88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何浩</w:t>
            </w:r>
          </w:p>
        </w:tc>
        <w:tc>
          <w:tcPr>
            <w:tcW w:w="87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男</w:t>
            </w:r>
          </w:p>
        </w:tc>
        <w:tc>
          <w:tcPr>
            <w:tcW w:w="667" w:type="dxa"/>
            <w:vAlign w:val="center"/>
          </w:tcPr>
          <w:p>
            <w:pPr>
              <w:spacing w:line="360" w:lineRule="auto"/>
              <w:contextualSpacing/>
              <w:jc w:val="center"/>
              <w:rPr>
                <w:rFonts w:ascii="宋体" w:hAnsi="宋体" w:eastAsia="宋体"/>
                <w:szCs w:val="21"/>
              </w:rPr>
            </w:pPr>
            <w:r>
              <w:rPr>
                <w:rFonts w:ascii="宋体" w:hAnsi="宋体" w:eastAsia="宋体"/>
                <w:szCs w:val="21"/>
              </w:rPr>
              <w:t>54</w:t>
            </w:r>
          </w:p>
        </w:tc>
        <w:tc>
          <w:tcPr>
            <w:tcW w:w="867" w:type="dxa"/>
            <w:vAlign w:val="center"/>
          </w:tcPr>
          <w:p>
            <w:pPr>
              <w:spacing w:line="360" w:lineRule="auto"/>
              <w:contextualSpacing/>
              <w:jc w:val="center"/>
              <w:rPr>
                <w:rFonts w:ascii="宋体" w:hAnsi="宋体" w:eastAsia="宋体"/>
                <w:szCs w:val="21"/>
              </w:rPr>
            </w:pPr>
            <w:r>
              <w:rPr>
                <w:rFonts w:hint="eastAsia" w:ascii="宋体" w:hAnsi="宋体" w:eastAsia="宋体"/>
                <w:szCs w:val="21"/>
              </w:rPr>
              <w:t>畜牧兽医</w:t>
            </w:r>
          </w:p>
        </w:tc>
        <w:tc>
          <w:tcPr>
            <w:tcW w:w="1776" w:type="dxa"/>
            <w:vAlign w:val="center"/>
          </w:tcPr>
          <w:p>
            <w:pPr>
              <w:spacing w:line="360" w:lineRule="auto"/>
              <w:contextualSpacing/>
              <w:jc w:val="center"/>
              <w:rPr>
                <w:rFonts w:ascii="宋体" w:hAnsi="宋体" w:eastAsia="宋体"/>
                <w:szCs w:val="21"/>
              </w:rPr>
            </w:pPr>
            <w:r>
              <w:rPr>
                <w:rFonts w:hint="eastAsia" w:ascii="宋体" w:hAnsi="宋体" w:eastAsia="宋体"/>
                <w:szCs w:val="21"/>
              </w:rPr>
              <w:t>榆树市动物疫病预防控制中心</w:t>
            </w:r>
          </w:p>
        </w:tc>
        <w:tc>
          <w:tcPr>
            <w:tcW w:w="151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高级畜牧师</w:t>
            </w:r>
          </w:p>
        </w:tc>
        <w:tc>
          <w:tcPr>
            <w:tcW w:w="1705" w:type="dxa"/>
            <w:vAlign w:val="center"/>
          </w:tcPr>
          <w:p>
            <w:pPr>
              <w:spacing w:line="360" w:lineRule="auto"/>
              <w:contextualSpacing/>
              <w:jc w:val="center"/>
              <w:rPr>
                <w:rFonts w:ascii="宋体" w:hAnsi="宋体" w:eastAsia="宋体"/>
                <w:szCs w:val="21"/>
              </w:rPr>
            </w:pPr>
            <w:r>
              <w:rPr>
                <w:rFonts w:hint="eastAsia" w:ascii="宋体" w:hAnsi="宋体" w:eastAsia="宋体"/>
                <w:szCs w:val="21"/>
              </w:rPr>
              <w:t>调研、标准查新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26" w:type="dxa"/>
            <w:vAlign w:val="center"/>
          </w:tcPr>
          <w:p>
            <w:pPr>
              <w:spacing w:line="360" w:lineRule="auto"/>
              <w:jc w:val="center"/>
              <w:rPr>
                <w:rFonts w:ascii="宋体" w:hAnsi="宋体" w:eastAsia="宋体"/>
                <w:szCs w:val="21"/>
              </w:rPr>
            </w:pPr>
            <w:r>
              <w:rPr>
                <w:rFonts w:hint="eastAsia" w:ascii="宋体" w:hAnsi="宋体" w:eastAsia="宋体"/>
                <w:szCs w:val="21"/>
              </w:rPr>
              <w:t>组员</w:t>
            </w:r>
          </w:p>
        </w:tc>
        <w:tc>
          <w:tcPr>
            <w:tcW w:w="88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耿名慧</w:t>
            </w:r>
          </w:p>
        </w:tc>
        <w:tc>
          <w:tcPr>
            <w:tcW w:w="87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女</w:t>
            </w:r>
          </w:p>
        </w:tc>
        <w:tc>
          <w:tcPr>
            <w:tcW w:w="667" w:type="dxa"/>
            <w:vAlign w:val="center"/>
          </w:tcPr>
          <w:p>
            <w:pPr>
              <w:spacing w:line="360" w:lineRule="auto"/>
              <w:contextualSpacing/>
              <w:jc w:val="center"/>
              <w:rPr>
                <w:rFonts w:ascii="宋体" w:hAnsi="宋体" w:eastAsia="宋体"/>
                <w:szCs w:val="21"/>
              </w:rPr>
            </w:pPr>
            <w:r>
              <w:rPr>
                <w:rFonts w:hint="eastAsia" w:ascii="宋体" w:hAnsi="宋体" w:eastAsia="宋体"/>
                <w:szCs w:val="21"/>
              </w:rPr>
              <w:t>2</w:t>
            </w:r>
            <w:r>
              <w:rPr>
                <w:rFonts w:ascii="宋体" w:hAnsi="宋体" w:eastAsia="宋体"/>
                <w:szCs w:val="21"/>
              </w:rPr>
              <w:t>9</w:t>
            </w:r>
          </w:p>
        </w:tc>
        <w:tc>
          <w:tcPr>
            <w:tcW w:w="867" w:type="dxa"/>
            <w:vAlign w:val="center"/>
          </w:tcPr>
          <w:p>
            <w:pPr>
              <w:spacing w:line="360" w:lineRule="auto"/>
              <w:contextualSpacing/>
              <w:jc w:val="center"/>
              <w:rPr>
                <w:rFonts w:ascii="宋体" w:hAnsi="宋体" w:eastAsia="宋体"/>
                <w:szCs w:val="21"/>
              </w:rPr>
            </w:pPr>
            <w:r>
              <w:rPr>
                <w:rFonts w:hint="eastAsia" w:ascii="宋体" w:hAnsi="宋体" w:eastAsia="宋体"/>
                <w:szCs w:val="21"/>
              </w:rPr>
              <w:t>畜牧兽医</w:t>
            </w:r>
          </w:p>
        </w:tc>
        <w:tc>
          <w:tcPr>
            <w:tcW w:w="1776" w:type="dxa"/>
            <w:vAlign w:val="center"/>
          </w:tcPr>
          <w:p>
            <w:pPr>
              <w:spacing w:line="360" w:lineRule="auto"/>
              <w:contextualSpacing/>
              <w:jc w:val="center"/>
              <w:rPr>
                <w:rFonts w:ascii="宋体" w:hAnsi="宋体" w:eastAsia="宋体"/>
                <w:szCs w:val="21"/>
              </w:rPr>
            </w:pPr>
            <w:r>
              <w:rPr>
                <w:rFonts w:hint="eastAsia" w:ascii="宋体" w:hAnsi="宋体" w:eastAsia="宋体"/>
                <w:szCs w:val="21"/>
              </w:rPr>
              <w:t>朝阳区动物疫病预防控制中心</w:t>
            </w:r>
          </w:p>
        </w:tc>
        <w:tc>
          <w:tcPr>
            <w:tcW w:w="151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助理兽医师</w:t>
            </w:r>
          </w:p>
        </w:tc>
        <w:tc>
          <w:tcPr>
            <w:tcW w:w="1705" w:type="dxa"/>
            <w:vAlign w:val="center"/>
          </w:tcPr>
          <w:p>
            <w:pPr>
              <w:spacing w:line="360" w:lineRule="auto"/>
              <w:contextualSpacing/>
              <w:jc w:val="center"/>
              <w:rPr>
                <w:rFonts w:ascii="宋体" w:hAnsi="宋体" w:eastAsia="宋体"/>
                <w:szCs w:val="21"/>
              </w:rPr>
            </w:pPr>
            <w:r>
              <w:rPr>
                <w:rFonts w:hint="eastAsia" w:ascii="宋体" w:hAnsi="宋体" w:eastAsia="宋体"/>
                <w:szCs w:val="21"/>
              </w:rPr>
              <w:t>审核意见反馈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726" w:type="dxa"/>
            <w:vAlign w:val="center"/>
          </w:tcPr>
          <w:p>
            <w:pPr>
              <w:spacing w:line="360" w:lineRule="auto"/>
              <w:jc w:val="center"/>
              <w:rPr>
                <w:rFonts w:ascii="宋体" w:hAnsi="宋体" w:eastAsia="宋体"/>
                <w:szCs w:val="21"/>
              </w:rPr>
            </w:pPr>
            <w:r>
              <w:rPr>
                <w:rFonts w:hint="eastAsia" w:ascii="宋体" w:hAnsi="宋体" w:eastAsia="宋体"/>
                <w:szCs w:val="21"/>
              </w:rPr>
              <w:t>组员</w:t>
            </w:r>
          </w:p>
        </w:tc>
        <w:tc>
          <w:tcPr>
            <w:tcW w:w="880" w:type="dxa"/>
            <w:vAlign w:val="center"/>
          </w:tcPr>
          <w:p>
            <w:pPr>
              <w:spacing w:line="360" w:lineRule="auto"/>
              <w:contextualSpacing/>
              <w:jc w:val="center"/>
              <w:rPr>
                <w:rFonts w:ascii="宋体" w:hAnsi="宋体" w:eastAsia="宋体"/>
                <w:szCs w:val="21"/>
              </w:rPr>
            </w:pPr>
            <w:r>
              <w:rPr>
                <w:rFonts w:hint="eastAsia" w:ascii="宋体" w:hAnsi="宋体" w:eastAsia="宋体"/>
                <w:szCs w:val="21"/>
              </w:rPr>
              <w:t>程兆礼</w:t>
            </w:r>
          </w:p>
        </w:tc>
        <w:tc>
          <w:tcPr>
            <w:tcW w:w="870" w:type="dxa"/>
            <w:vAlign w:val="center"/>
          </w:tcPr>
          <w:p>
            <w:pPr>
              <w:spacing w:line="360" w:lineRule="auto"/>
              <w:contextualSpacing/>
              <w:jc w:val="center"/>
              <w:rPr>
                <w:rFonts w:ascii="宋体" w:hAnsi="宋体" w:eastAsia="宋体" w:cstheme="minorBidi"/>
                <w:szCs w:val="21"/>
              </w:rPr>
            </w:pPr>
            <w:r>
              <w:rPr>
                <w:rFonts w:hint="eastAsia" w:ascii="宋体" w:hAnsi="宋体" w:eastAsia="宋体" w:cstheme="minorBidi"/>
                <w:szCs w:val="21"/>
              </w:rPr>
              <w:t>男</w:t>
            </w:r>
          </w:p>
        </w:tc>
        <w:tc>
          <w:tcPr>
            <w:tcW w:w="667" w:type="dxa"/>
            <w:vAlign w:val="center"/>
          </w:tcPr>
          <w:p>
            <w:pPr>
              <w:spacing w:line="360" w:lineRule="auto"/>
              <w:contextualSpacing/>
              <w:jc w:val="center"/>
              <w:rPr>
                <w:rFonts w:ascii="宋体" w:hAnsi="宋体" w:eastAsia="宋体" w:cstheme="minorBidi"/>
                <w:szCs w:val="21"/>
              </w:rPr>
            </w:pPr>
            <w:r>
              <w:rPr>
                <w:rFonts w:hint="eastAsia" w:ascii="宋体" w:hAnsi="宋体" w:eastAsia="宋体" w:cstheme="minorBidi"/>
                <w:szCs w:val="21"/>
              </w:rPr>
              <w:t>55</w:t>
            </w:r>
          </w:p>
        </w:tc>
        <w:tc>
          <w:tcPr>
            <w:tcW w:w="867" w:type="dxa"/>
            <w:vAlign w:val="center"/>
          </w:tcPr>
          <w:p>
            <w:pPr>
              <w:spacing w:line="360" w:lineRule="auto"/>
              <w:contextualSpacing/>
              <w:jc w:val="center"/>
              <w:rPr>
                <w:rFonts w:ascii="宋体" w:hAnsi="宋体" w:eastAsia="宋体" w:cstheme="minorBidi"/>
                <w:szCs w:val="21"/>
              </w:rPr>
            </w:pPr>
            <w:r>
              <w:rPr>
                <w:rFonts w:hint="eastAsia" w:ascii="宋体" w:hAnsi="宋体" w:eastAsia="宋体" w:cstheme="minorBidi"/>
                <w:szCs w:val="21"/>
              </w:rPr>
              <w:t>畜牧</w:t>
            </w:r>
          </w:p>
        </w:tc>
        <w:tc>
          <w:tcPr>
            <w:tcW w:w="1776" w:type="dxa"/>
            <w:vAlign w:val="center"/>
          </w:tcPr>
          <w:p>
            <w:pPr>
              <w:spacing w:line="360" w:lineRule="auto"/>
              <w:contextualSpacing/>
              <w:jc w:val="center"/>
              <w:rPr>
                <w:rFonts w:ascii="宋体" w:hAnsi="宋体" w:eastAsia="宋体" w:cstheme="minorBidi"/>
                <w:szCs w:val="21"/>
              </w:rPr>
            </w:pPr>
            <w:r>
              <w:rPr>
                <w:rFonts w:hint="eastAsia" w:ascii="宋体" w:hAnsi="宋体" w:eastAsia="宋体" w:cstheme="minorBidi"/>
                <w:szCs w:val="21"/>
              </w:rPr>
              <w:t>吉林新兆农牧业有限责任公司</w:t>
            </w:r>
          </w:p>
        </w:tc>
        <w:tc>
          <w:tcPr>
            <w:tcW w:w="1510" w:type="dxa"/>
            <w:vAlign w:val="center"/>
          </w:tcPr>
          <w:p>
            <w:pPr>
              <w:spacing w:line="360" w:lineRule="auto"/>
              <w:contextualSpacing/>
              <w:jc w:val="center"/>
              <w:rPr>
                <w:rFonts w:ascii="宋体" w:hAnsi="宋体" w:eastAsia="宋体" w:cstheme="minorBidi"/>
                <w:szCs w:val="21"/>
              </w:rPr>
            </w:pPr>
            <w:r>
              <w:rPr>
                <w:rFonts w:hint="eastAsia" w:ascii="宋体" w:hAnsi="宋体" w:eastAsia="宋体" w:cstheme="minorBidi"/>
                <w:szCs w:val="21"/>
              </w:rPr>
              <w:t>畜牧师</w:t>
            </w:r>
          </w:p>
        </w:tc>
        <w:tc>
          <w:tcPr>
            <w:tcW w:w="1705" w:type="dxa"/>
            <w:vAlign w:val="center"/>
          </w:tcPr>
          <w:p>
            <w:pPr>
              <w:spacing w:line="360" w:lineRule="auto"/>
              <w:contextualSpacing/>
              <w:jc w:val="center"/>
              <w:rPr>
                <w:rFonts w:ascii="宋体" w:hAnsi="宋体" w:eastAsia="宋体"/>
                <w:szCs w:val="21"/>
              </w:rPr>
            </w:pPr>
            <w:r>
              <w:rPr>
                <w:rFonts w:hint="eastAsia" w:ascii="宋体" w:hAnsi="宋体" w:eastAsia="宋体"/>
                <w:szCs w:val="21"/>
              </w:rPr>
              <w:t>技术推广</w:t>
            </w:r>
          </w:p>
        </w:tc>
      </w:tr>
    </w:tbl>
    <w:p>
      <w:pPr>
        <w:widowControl/>
        <w:spacing w:line="360" w:lineRule="auto"/>
        <w:rPr>
          <w:rFonts w:ascii="宋体" w:hAnsi="宋体" w:eastAsia="宋体"/>
          <w:kern w:val="0"/>
          <w:szCs w:val="21"/>
        </w:rPr>
      </w:pP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2、调查研究和标准起草</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接到长春市市场监督管理局的正式立项任务后，标准起草小组立即开展调查研究工作和标准查新工作，先后对我市大中小型肉牛养殖场（户）共</w:t>
      </w:r>
      <w:r>
        <w:rPr>
          <w:rFonts w:ascii="宋体" w:hAnsi="宋体" w:eastAsia="宋体"/>
          <w:kern w:val="0"/>
          <w:szCs w:val="21"/>
        </w:rPr>
        <w:t>XX</w:t>
      </w:r>
      <w:r>
        <w:rPr>
          <w:rFonts w:hint="eastAsia" w:ascii="宋体" w:hAnsi="宋体" w:eastAsia="宋体"/>
          <w:kern w:val="0"/>
          <w:szCs w:val="21"/>
        </w:rPr>
        <w:t>家进行调查研究，对现阶段育肥犊牛饲养情况进行摸底排查，同时与当地畜牧部门、相关单位人员进行座谈，对标准内容进行了研究和讨论。起草人员通过查阅标准制定的相关法律法规以及规范性文件，边调研、边起草，通过近年来对全市犊牛育肥饲养技术情况的调研，结合工作实际，查阅大量相关资料后，起草形成标准讨论稿，经过项目小组分析讨论，完成了标准文本和编制说明初稿的编写，形成征求意见稿。</w:t>
      </w:r>
    </w:p>
    <w:p>
      <w:pPr>
        <w:autoSpaceDE w:val="0"/>
        <w:autoSpaceDN w:val="0"/>
        <w:adjustRightInd w:val="0"/>
        <w:spacing w:line="360" w:lineRule="auto"/>
        <w:ind w:firstLine="420" w:firstLineChars="200"/>
        <w:rPr>
          <w:rFonts w:ascii="宋体" w:hAnsi="宋体" w:eastAsia="宋体"/>
          <w:kern w:val="0"/>
          <w:szCs w:val="21"/>
        </w:rPr>
      </w:pPr>
      <w:r>
        <w:rPr>
          <w:rFonts w:hint="eastAsia" w:ascii="宋体" w:hAnsi="宋体" w:eastAsia="宋体"/>
          <w:kern w:val="0"/>
          <w:szCs w:val="21"/>
        </w:rPr>
        <w:t>（四）征求意见阶段（202</w:t>
      </w:r>
      <w:r>
        <w:rPr>
          <w:rFonts w:ascii="宋体" w:hAnsi="宋体" w:eastAsia="宋体"/>
          <w:kern w:val="0"/>
          <w:szCs w:val="21"/>
        </w:rPr>
        <w:t>4</w:t>
      </w:r>
      <w:r>
        <w:rPr>
          <w:rFonts w:hint="eastAsia" w:ascii="宋体" w:hAnsi="宋体" w:eastAsia="宋体"/>
          <w:kern w:val="0"/>
          <w:szCs w:val="21"/>
        </w:rPr>
        <w:t>年</w:t>
      </w:r>
      <w:r>
        <w:rPr>
          <w:rFonts w:ascii="宋体" w:hAnsi="宋体" w:eastAsia="宋体"/>
          <w:kern w:val="0"/>
          <w:szCs w:val="21"/>
        </w:rPr>
        <w:t>XX</w:t>
      </w:r>
      <w:r>
        <w:rPr>
          <w:rFonts w:hint="eastAsia" w:ascii="宋体" w:hAnsi="宋体" w:eastAsia="宋体"/>
          <w:kern w:val="0"/>
          <w:szCs w:val="21"/>
        </w:rPr>
        <w:t>月--202</w:t>
      </w:r>
      <w:r>
        <w:rPr>
          <w:rFonts w:ascii="宋体" w:hAnsi="宋体" w:eastAsia="宋体"/>
          <w:kern w:val="0"/>
          <w:szCs w:val="21"/>
        </w:rPr>
        <w:t>4</w:t>
      </w:r>
      <w:r>
        <w:rPr>
          <w:rFonts w:hint="eastAsia" w:ascii="宋体" w:hAnsi="宋体" w:eastAsia="宋体"/>
          <w:kern w:val="0"/>
          <w:szCs w:val="21"/>
        </w:rPr>
        <w:t>年</w:t>
      </w:r>
      <w:r>
        <w:rPr>
          <w:rFonts w:ascii="宋体" w:hAnsi="宋体" w:eastAsia="宋体"/>
          <w:kern w:val="0"/>
          <w:szCs w:val="21"/>
        </w:rPr>
        <w:t>XX</w:t>
      </w:r>
      <w:r>
        <w:rPr>
          <w:rFonts w:hint="eastAsia" w:ascii="宋体" w:hAnsi="宋体" w:eastAsia="宋体"/>
          <w:kern w:val="0"/>
          <w:szCs w:val="21"/>
        </w:rPr>
        <w:t>月）</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1、网上公示征求意见</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根据《地方标准管理办法》有关要求，202</w:t>
      </w:r>
      <w:r>
        <w:rPr>
          <w:rFonts w:ascii="宋体" w:hAnsi="宋体" w:eastAsia="宋体"/>
          <w:kern w:val="0"/>
          <w:szCs w:val="21"/>
        </w:rPr>
        <w:t>4</w:t>
      </w:r>
      <w:r>
        <w:rPr>
          <w:rFonts w:hint="eastAsia" w:ascii="宋体" w:hAnsi="宋体" w:eastAsia="宋体"/>
          <w:kern w:val="0"/>
          <w:szCs w:val="21"/>
        </w:rPr>
        <w:t>年</w:t>
      </w:r>
      <w:r>
        <w:rPr>
          <w:rFonts w:ascii="宋体" w:hAnsi="宋体" w:eastAsia="宋体"/>
          <w:kern w:val="0"/>
          <w:szCs w:val="21"/>
        </w:rPr>
        <w:t>XX</w:t>
      </w:r>
      <w:r>
        <w:rPr>
          <w:rFonts w:hint="eastAsia" w:ascii="宋体" w:hAnsi="宋体" w:eastAsia="宋体"/>
          <w:kern w:val="0"/>
          <w:szCs w:val="21"/>
        </w:rPr>
        <w:t>月</w:t>
      </w:r>
      <w:r>
        <w:rPr>
          <w:rFonts w:ascii="宋体" w:hAnsi="宋体" w:eastAsia="宋体"/>
          <w:kern w:val="0"/>
          <w:szCs w:val="21"/>
        </w:rPr>
        <w:t>XX</w:t>
      </w:r>
      <w:r>
        <w:rPr>
          <w:rFonts w:hint="eastAsia" w:ascii="宋体" w:hAnsi="宋体" w:eastAsia="宋体"/>
          <w:kern w:val="0"/>
          <w:szCs w:val="21"/>
        </w:rPr>
        <w:t>日至202</w:t>
      </w:r>
      <w:r>
        <w:rPr>
          <w:rFonts w:ascii="宋体" w:hAnsi="宋体" w:eastAsia="宋体"/>
          <w:kern w:val="0"/>
          <w:szCs w:val="21"/>
        </w:rPr>
        <w:t>4</w:t>
      </w:r>
      <w:r>
        <w:rPr>
          <w:rFonts w:hint="eastAsia" w:ascii="宋体" w:hAnsi="宋体" w:eastAsia="宋体"/>
          <w:kern w:val="0"/>
          <w:szCs w:val="21"/>
        </w:rPr>
        <w:t>年</w:t>
      </w:r>
      <w:r>
        <w:rPr>
          <w:rFonts w:ascii="宋体" w:hAnsi="宋体" w:eastAsia="宋体"/>
          <w:kern w:val="0"/>
          <w:szCs w:val="21"/>
        </w:rPr>
        <w:t>XX</w:t>
      </w:r>
      <w:r>
        <w:rPr>
          <w:rFonts w:hint="eastAsia" w:ascii="宋体" w:hAnsi="宋体" w:eastAsia="宋体"/>
          <w:kern w:val="0"/>
          <w:szCs w:val="21"/>
        </w:rPr>
        <w:t>月</w:t>
      </w:r>
      <w:r>
        <w:rPr>
          <w:rFonts w:ascii="宋体" w:hAnsi="宋体" w:eastAsia="宋体"/>
          <w:kern w:val="0"/>
          <w:szCs w:val="21"/>
        </w:rPr>
        <w:t>XX</w:t>
      </w:r>
      <w:r>
        <w:rPr>
          <w:rFonts w:hint="eastAsia" w:ascii="宋体" w:hAnsi="宋体" w:eastAsia="宋体"/>
          <w:kern w:val="0"/>
          <w:szCs w:val="21"/>
        </w:rPr>
        <w:t>日，本标准通过长春市市场监督管理局网站向社会各界公开征求意见，公示期间无相关反馈意见。</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2、线下征求意见</w:t>
      </w:r>
    </w:p>
    <w:p>
      <w:pPr>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先后征求X</w:t>
      </w:r>
      <w:r>
        <w:rPr>
          <w:rFonts w:ascii="宋体" w:hAnsi="宋体" w:eastAsia="宋体"/>
          <w:color w:val="000000" w:themeColor="text1"/>
          <w:kern w:val="0"/>
          <w:szCs w:val="21"/>
          <w14:textFill>
            <w14:solidFill>
              <w14:schemeClr w14:val="tx1"/>
            </w14:solidFill>
          </w14:textFill>
        </w:rPr>
        <w:t>X</w:t>
      </w:r>
      <w:r>
        <w:rPr>
          <w:rFonts w:hint="eastAsia" w:ascii="宋体" w:hAnsi="宋体" w:eastAsia="宋体"/>
          <w:color w:val="000000" w:themeColor="text1"/>
          <w:kern w:val="0"/>
          <w:szCs w:val="21"/>
          <w14:textFill>
            <w14:solidFill>
              <w14:schemeClr w14:val="tx1"/>
            </w14:solidFill>
          </w14:textFill>
        </w:rPr>
        <w:t>等科研、推广单位及养殖场共</w:t>
      </w:r>
      <w:r>
        <w:rPr>
          <w:rFonts w:ascii="宋体" w:hAnsi="宋体" w:eastAsia="宋体"/>
          <w:color w:val="000000" w:themeColor="text1"/>
          <w:kern w:val="0"/>
          <w:szCs w:val="21"/>
          <w14:textFill>
            <w14:solidFill>
              <w14:schemeClr w14:val="tx1"/>
            </w14:solidFill>
          </w14:textFill>
        </w:rPr>
        <w:t>XX</w:t>
      </w:r>
      <w:r>
        <w:rPr>
          <w:rFonts w:hint="eastAsia" w:ascii="宋体" w:hAnsi="宋体" w:eastAsia="宋体"/>
          <w:color w:val="000000" w:themeColor="text1"/>
          <w:kern w:val="0"/>
          <w:szCs w:val="21"/>
          <w14:textFill>
            <w14:solidFill>
              <w14:schemeClr w14:val="tx1"/>
            </w14:solidFill>
          </w14:textFill>
        </w:rPr>
        <w:t>家单位，</w:t>
      </w:r>
      <w:r>
        <w:rPr>
          <w:rFonts w:ascii="宋体" w:hAnsi="宋体" w:eastAsia="宋体"/>
          <w:color w:val="000000" w:themeColor="text1"/>
          <w:kern w:val="0"/>
          <w:szCs w:val="21"/>
          <w14:textFill>
            <w14:solidFill>
              <w14:schemeClr w14:val="tx1"/>
            </w14:solidFill>
          </w14:textFill>
        </w:rPr>
        <w:t>XX</w:t>
      </w:r>
      <w:r>
        <w:rPr>
          <w:rFonts w:hint="eastAsia" w:ascii="宋体" w:hAnsi="宋体" w:eastAsia="宋体"/>
          <w:color w:val="000000" w:themeColor="text1"/>
          <w:kern w:val="0"/>
          <w:szCs w:val="21"/>
          <w14:textFill>
            <w14:solidFill>
              <w14:schemeClr w14:val="tx1"/>
            </w14:solidFill>
          </w14:textFill>
        </w:rPr>
        <w:t>位专家的意见。共</w:t>
      </w:r>
      <w:r>
        <w:rPr>
          <w:rFonts w:ascii="宋体" w:hAnsi="宋体" w:eastAsia="宋体"/>
          <w:color w:val="000000" w:themeColor="text1"/>
          <w:kern w:val="0"/>
          <w:szCs w:val="21"/>
          <w14:textFill>
            <w14:solidFill>
              <w14:schemeClr w14:val="tx1"/>
            </w14:solidFill>
          </w14:textFill>
        </w:rPr>
        <w:t>XX</w:t>
      </w:r>
      <w:r>
        <w:rPr>
          <w:rFonts w:hint="eastAsia" w:ascii="宋体" w:hAnsi="宋体" w:eastAsia="宋体"/>
          <w:color w:val="000000" w:themeColor="text1"/>
          <w:kern w:val="0"/>
          <w:szCs w:val="21"/>
          <w14:textFill>
            <w14:solidFill>
              <w14:schemeClr w14:val="tx1"/>
            </w14:solidFill>
          </w14:textFill>
        </w:rPr>
        <w:t>条修改意见，归纳整理为</w:t>
      </w:r>
      <w:r>
        <w:rPr>
          <w:rFonts w:ascii="宋体" w:hAnsi="宋体" w:eastAsia="宋体"/>
          <w:color w:val="000000" w:themeColor="text1"/>
          <w:kern w:val="0"/>
          <w:szCs w:val="21"/>
          <w14:textFill>
            <w14:solidFill>
              <w14:schemeClr w14:val="tx1"/>
            </w14:solidFill>
          </w14:textFill>
        </w:rPr>
        <w:t>XX</w:t>
      </w:r>
      <w:r>
        <w:rPr>
          <w:rFonts w:hint="eastAsia" w:ascii="宋体" w:hAnsi="宋体" w:eastAsia="宋体"/>
          <w:color w:val="000000" w:themeColor="text1"/>
          <w:kern w:val="0"/>
          <w:szCs w:val="21"/>
          <w14:textFill>
            <w14:solidFill>
              <w14:schemeClr w14:val="tx1"/>
            </w14:solidFill>
          </w14:textFill>
        </w:rPr>
        <w:t>条，其中采纳</w:t>
      </w:r>
      <w:r>
        <w:rPr>
          <w:rFonts w:ascii="宋体" w:hAnsi="宋体" w:eastAsia="宋体"/>
          <w:color w:val="000000" w:themeColor="text1"/>
          <w:kern w:val="0"/>
          <w:szCs w:val="21"/>
          <w14:textFill>
            <w14:solidFill>
              <w14:schemeClr w14:val="tx1"/>
            </w14:solidFill>
          </w14:textFill>
        </w:rPr>
        <w:t>XX</w:t>
      </w:r>
      <w:r>
        <w:rPr>
          <w:rFonts w:hint="eastAsia" w:ascii="宋体" w:hAnsi="宋体" w:eastAsia="宋体"/>
          <w:color w:val="000000" w:themeColor="text1"/>
          <w:kern w:val="0"/>
          <w:szCs w:val="21"/>
          <w14:textFill>
            <w14:solidFill>
              <w14:schemeClr w14:val="tx1"/>
            </w14:solidFill>
          </w14:textFill>
        </w:rPr>
        <w:t>条，未采纳</w:t>
      </w:r>
      <w:r>
        <w:rPr>
          <w:rFonts w:ascii="宋体" w:hAnsi="宋体" w:eastAsia="宋体"/>
          <w:color w:val="000000" w:themeColor="text1"/>
          <w:kern w:val="0"/>
          <w:szCs w:val="21"/>
          <w14:textFill>
            <w14:solidFill>
              <w14:schemeClr w14:val="tx1"/>
            </w14:solidFill>
          </w14:textFill>
        </w:rPr>
        <w:t>XX</w:t>
      </w:r>
      <w:r>
        <w:rPr>
          <w:rFonts w:hint="eastAsia" w:ascii="宋体" w:hAnsi="宋体" w:eastAsia="宋体"/>
          <w:color w:val="000000" w:themeColor="text1"/>
          <w:kern w:val="0"/>
          <w:szCs w:val="21"/>
          <w14:textFill>
            <w14:solidFill>
              <w14:schemeClr w14:val="tx1"/>
            </w14:solidFill>
          </w14:textFill>
        </w:rPr>
        <w:t>条，具体见表2。未采纳意见已与提出专家进行沟通，已达成协调一致。</w:t>
      </w:r>
    </w:p>
    <w:p>
      <w:pPr>
        <w:spacing w:line="360" w:lineRule="auto"/>
        <w:jc w:val="center"/>
        <w:rPr>
          <w:kern w:val="0"/>
          <w:szCs w:val="21"/>
        </w:rPr>
      </w:pPr>
      <w:r>
        <w:rPr>
          <w:rFonts w:hint="eastAsia" w:ascii="宋体" w:hAnsi="宋体" w:eastAsia="宋体"/>
          <w:kern w:val="0"/>
          <w:szCs w:val="21"/>
        </w:rPr>
        <w:t>表2 《肉牛饲养技术规范 第3部分：育肥犊牛》征求意见汇总表</w:t>
      </w:r>
    </w:p>
    <w:tbl>
      <w:tblPr>
        <w:tblStyle w:val="9"/>
        <w:tblW w:w="88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910"/>
        <w:gridCol w:w="2366"/>
        <w:gridCol w:w="2166"/>
        <w:gridCol w:w="1434"/>
        <w:gridCol w:w="1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序号</w:t>
            </w:r>
          </w:p>
        </w:tc>
        <w:tc>
          <w:tcPr>
            <w:tcW w:w="910"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标准</w:t>
            </w:r>
          </w:p>
          <w:p>
            <w:pPr>
              <w:autoSpaceDE w:val="0"/>
              <w:autoSpaceDN w:val="0"/>
              <w:adjustRightInd w:val="0"/>
              <w:jc w:val="center"/>
              <w:rPr>
                <w:rFonts w:ascii="宋体" w:hAnsi="宋体" w:eastAsia="宋体"/>
                <w:kern w:val="0"/>
                <w:szCs w:val="21"/>
              </w:rPr>
            </w:pPr>
            <w:r>
              <w:rPr>
                <w:rFonts w:hint="eastAsia" w:ascii="宋体" w:hAnsi="宋体" w:eastAsia="宋体"/>
                <w:kern w:val="0"/>
                <w:szCs w:val="21"/>
              </w:rPr>
              <w:t>条文号</w:t>
            </w:r>
          </w:p>
        </w:tc>
        <w:tc>
          <w:tcPr>
            <w:tcW w:w="236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意见内容</w:t>
            </w:r>
          </w:p>
        </w:tc>
        <w:tc>
          <w:tcPr>
            <w:tcW w:w="216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提出单位（专家）</w:t>
            </w:r>
          </w:p>
        </w:tc>
        <w:tc>
          <w:tcPr>
            <w:tcW w:w="1434"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处理意见</w:t>
            </w:r>
          </w:p>
        </w:tc>
        <w:tc>
          <w:tcPr>
            <w:tcW w:w="126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1</w:t>
            </w:r>
          </w:p>
        </w:tc>
        <w:tc>
          <w:tcPr>
            <w:tcW w:w="910" w:type="dxa"/>
            <w:vAlign w:val="center"/>
          </w:tcPr>
          <w:p>
            <w:pPr>
              <w:autoSpaceDE w:val="0"/>
              <w:autoSpaceDN w:val="0"/>
              <w:adjustRightInd w:val="0"/>
              <w:jc w:val="center"/>
              <w:rPr>
                <w:rFonts w:ascii="宋体" w:hAnsi="宋体" w:eastAsia="宋体"/>
                <w:kern w:val="0"/>
                <w:szCs w:val="21"/>
              </w:rPr>
            </w:pPr>
          </w:p>
        </w:tc>
        <w:tc>
          <w:tcPr>
            <w:tcW w:w="2366" w:type="dxa"/>
            <w:vAlign w:val="center"/>
          </w:tcPr>
          <w:p>
            <w:pPr>
              <w:autoSpaceDE w:val="0"/>
              <w:autoSpaceDN w:val="0"/>
              <w:adjustRightInd w:val="0"/>
              <w:jc w:val="left"/>
              <w:rPr>
                <w:rFonts w:ascii="宋体" w:hAnsi="宋体" w:eastAsia="宋体"/>
                <w:kern w:val="0"/>
                <w:szCs w:val="21"/>
              </w:rPr>
            </w:pPr>
          </w:p>
        </w:tc>
        <w:tc>
          <w:tcPr>
            <w:tcW w:w="2166" w:type="dxa"/>
            <w:vAlign w:val="center"/>
          </w:tcPr>
          <w:p>
            <w:pPr>
              <w:autoSpaceDE w:val="0"/>
              <w:autoSpaceDN w:val="0"/>
              <w:adjustRightInd w:val="0"/>
              <w:jc w:val="left"/>
              <w:rPr>
                <w:rFonts w:ascii="宋体" w:hAnsi="宋体" w:eastAsia="宋体"/>
                <w:kern w:val="0"/>
                <w:szCs w:val="21"/>
              </w:rPr>
            </w:pPr>
          </w:p>
        </w:tc>
        <w:tc>
          <w:tcPr>
            <w:tcW w:w="1434" w:type="dxa"/>
            <w:vAlign w:val="center"/>
          </w:tcPr>
          <w:p>
            <w:pPr>
              <w:tabs>
                <w:tab w:val="left" w:pos="397"/>
              </w:tabs>
              <w:autoSpaceDE w:val="0"/>
              <w:autoSpaceDN w:val="0"/>
              <w:adjustRightInd w:val="0"/>
              <w:jc w:val="center"/>
              <w:rPr>
                <w:rFonts w:ascii="宋体" w:hAnsi="宋体" w:eastAsia="宋体"/>
                <w:kern w:val="0"/>
                <w:szCs w:val="21"/>
              </w:rPr>
            </w:pPr>
          </w:p>
        </w:tc>
        <w:tc>
          <w:tcPr>
            <w:tcW w:w="1266"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2</w:t>
            </w:r>
          </w:p>
        </w:tc>
        <w:tc>
          <w:tcPr>
            <w:tcW w:w="910" w:type="dxa"/>
            <w:vAlign w:val="center"/>
          </w:tcPr>
          <w:p>
            <w:pPr>
              <w:autoSpaceDE w:val="0"/>
              <w:autoSpaceDN w:val="0"/>
              <w:adjustRightInd w:val="0"/>
              <w:jc w:val="center"/>
              <w:rPr>
                <w:rFonts w:ascii="宋体" w:hAnsi="宋体" w:eastAsia="宋体"/>
                <w:kern w:val="0"/>
                <w:szCs w:val="21"/>
              </w:rPr>
            </w:pPr>
          </w:p>
        </w:tc>
        <w:tc>
          <w:tcPr>
            <w:tcW w:w="2366" w:type="dxa"/>
            <w:vAlign w:val="center"/>
          </w:tcPr>
          <w:p>
            <w:pPr>
              <w:autoSpaceDE w:val="0"/>
              <w:autoSpaceDN w:val="0"/>
              <w:adjustRightInd w:val="0"/>
              <w:jc w:val="left"/>
              <w:rPr>
                <w:rFonts w:ascii="宋体" w:hAnsi="宋体" w:eastAsia="宋体"/>
                <w:kern w:val="0"/>
                <w:szCs w:val="21"/>
              </w:rPr>
            </w:pPr>
          </w:p>
        </w:tc>
        <w:tc>
          <w:tcPr>
            <w:tcW w:w="2166" w:type="dxa"/>
            <w:vAlign w:val="center"/>
          </w:tcPr>
          <w:p>
            <w:pPr>
              <w:autoSpaceDE w:val="0"/>
              <w:autoSpaceDN w:val="0"/>
              <w:adjustRightInd w:val="0"/>
              <w:jc w:val="left"/>
              <w:rPr>
                <w:rFonts w:ascii="宋体" w:hAnsi="宋体" w:eastAsia="宋体"/>
                <w:kern w:val="0"/>
                <w:szCs w:val="21"/>
              </w:rPr>
            </w:pPr>
          </w:p>
        </w:tc>
        <w:tc>
          <w:tcPr>
            <w:tcW w:w="1434" w:type="dxa"/>
            <w:vAlign w:val="center"/>
          </w:tcPr>
          <w:p>
            <w:pPr>
              <w:tabs>
                <w:tab w:val="left" w:pos="397"/>
              </w:tabs>
              <w:autoSpaceDE w:val="0"/>
              <w:autoSpaceDN w:val="0"/>
              <w:adjustRightInd w:val="0"/>
              <w:jc w:val="center"/>
              <w:rPr>
                <w:rFonts w:ascii="宋体" w:hAnsi="宋体" w:eastAsia="宋体"/>
                <w:kern w:val="0"/>
                <w:szCs w:val="21"/>
              </w:rPr>
            </w:pPr>
          </w:p>
        </w:tc>
        <w:tc>
          <w:tcPr>
            <w:tcW w:w="1266"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3</w:t>
            </w:r>
          </w:p>
        </w:tc>
        <w:tc>
          <w:tcPr>
            <w:tcW w:w="910" w:type="dxa"/>
            <w:vAlign w:val="center"/>
          </w:tcPr>
          <w:p>
            <w:pPr>
              <w:autoSpaceDE w:val="0"/>
              <w:autoSpaceDN w:val="0"/>
              <w:adjustRightInd w:val="0"/>
              <w:jc w:val="center"/>
              <w:rPr>
                <w:rFonts w:ascii="宋体" w:hAnsi="宋体" w:eastAsia="宋体"/>
                <w:kern w:val="0"/>
                <w:szCs w:val="21"/>
              </w:rPr>
            </w:pPr>
          </w:p>
        </w:tc>
        <w:tc>
          <w:tcPr>
            <w:tcW w:w="2366" w:type="dxa"/>
            <w:vAlign w:val="center"/>
          </w:tcPr>
          <w:p>
            <w:pPr>
              <w:autoSpaceDE w:val="0"/>
              <w:autoSpaceDN w:val="0"/>
              <w:adjustRightInd w:val="0"/>
              <w:jc w:val="left"/>
              <w:rPr>
                <w:rFonts w:ascii="宋体" w:hAnsi="宋体" w:eastAsia="宋体"/>
                <w:kern w:val="0"/>
                <w:szCs w:val="21"/>
              </w:rPr>
            </w:pPr>
          </w:p>
        </w:tc>
        <w:tc>
          <w:tcPr>
            <w:tcW w:w="2166" w:type="dxa"/>
            <w:vAlign w:val="center"/>
          </w:tcPr>
          <w:p>
            <w:pPr>
              <w:autoSpaceDE w:val="0"/>
              <w:autoSpaceDN w:val="0"/>
              <w:adjustRightInd w:val="0"/>
              <w:jc w:val="left"/>
              <w:rPr>
                <w:rFonts w:ascii="宋体" w:hAnsi="宋体" w:eastAsia="宋体"/>
                <w:kern w:val="0"/>
                <w:szCs w:val="21"/>
              </w:rPr>
            </w:pPr>
          </w:p>
        </w:tc>
        <w:tc>
          <w:tcPr>
            <w:tcW w:w="1434" w:type="dxa"/>
            <w:vAlign w:val="center"/>
          </w:tcPr>
          <w:p>
            <w:pPr>
              <w:tabs>
                <w:tab w:val="left" w:pos="397"/>
              </w:tabs>
              <w:autoSpaceDE w:val="0"/>
              <w:autoSpaceDN w:val="0"/>
              <w:adjustRightInd w:val="0"/>
              <w:jc w:val="center"/>
              <w:rPr>
                <w:rFonts w:ascii="宋体" w:hAnsi="宋体" w:eastAsia="宋体"/>
                <w:kern w:val="0"/>
                <w:szCs w:val="21"/>
              </w:rPr>
            </w:pPr>
          </w:p>
        </w:tc>
        <w:tc>
          <w:tcPr>
            <w:tcW w:w="1266"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4</w:t>
            </w:r>
          </w:p>
        </w:tc>
        <w:tc>
          <w:tcPr>
            <w:tcW w:w="910" w:type="dxa"/>
            <w:vAlign w:val="center"/>
          </w:tcPr>
          <w:p>
            <w:pPr>
              <w:autoSpaceDE w:val="0"/>
              <w:autoSpaceDN w:val="0"/>
              <w:adjustRightInd w:val="0"/>
              <w:jc w:val="center"/>
              <w:rPr>
                <w:rFonts w:ascii="宋体" w:hAnsi="宋体" w:eastAsia="宋体"/>
                <w:kern w:val="0"/>
                <w:szCs w:val="21"/>
              </w:rPr>
            </w:pPr>
          </w:p>
        </w:tc>
        <w:tc>
          <w:tcPr>
            <w:tcW w:w="2366" w:type="dxa"/>
            <w:vAlign w:val="center"/>
          </w:tcPr>
          <w:p>
            <w:pPr>
              <w:autoSpaceDE w:val="0"/>
              <w:autoSpaceDN w:val="0"/>
              <w:adjustRightInd w:val="0"/>
              <w:jc w:val="left"/>
              <w:rPr>
                <w:rFonts w:ascii="宋体" w:hAnsi="宋体" w:eastAsia="宋体"/>
                <w:kern w:val="0"/>
                <w:szCs w:val="21"/>
              </w:rPr>
            </w:pPr>
          </w:p>
        </w:tc>
        <w:tc>
          <w:tcPr>
            <w:tcW w:w="2166" w:type="dxa"/>
            <w:vAlign w:val="center"/>
          </w:tcPr>
          <w:p>
            <w:pPr>
              <w:autoSpaceDE w:val="0"/>
              <w:autoSpaceDN w:val="0"/>
              <w:adjustRightInd w:val="0"/>
              <w:jc w:val="left"/>
              <w:rPr>
                <w:rFonts w:ascii="宋体" w:hAnsi="宋体" w:eastAsia="宋体"/>
                <w:kern w:val="0"/>
                <w:szCs w:val="21"/>
              </w:rPr>
            </w:pPr>
          </w:p>
        </w:tc>
        <w:tc>
          <w:tcPr>
            <w:tcW w:w="1434" w:type="dxa"/>
            <w:vAlign w:val="center"/>
          </w:tcPr>
          <w:p>
            <w:pPr>
              <w:tabs>
                <w:tab w:val="left" w:pos="397"/>
              </w:tabs>
              <w:autoSpaceDE w:val="0"/>
              <w:autoSpaceDN w:val="0"/>
              <w:adjustRightInd w:val="0"/>
              <w:jc w:val="center"/>
              <w:rPr>
                <w:rFonts w:ascii="宋体" w:hAnsi="宋体" w:eastAsia="宋体"/>
                <w:kern w:val="0"/>
                <w:szCs w:val="21"/>
              </w:rPr>
            </w:pPr>
          </w:p>
        </w:tc>
        <w:tc>
          <w:tcPr>
            <w:tcW w:w="1266"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5</w:t>
            </w:r>
          </w:p>
        </w:tc>
        <w:tc>
          <w:tcPr>
            <w:tcW w:w="910" w:type="dxa"/>
            <w:vAlign w:val="center"/>
          </w:tcPr>
          <w:p>
            <w:pPr>
              <w:autoSpaceDE w:val="0"/>
              <w:autoSpaceDN w:val="0"/>
              <w:adjustRightInd w:val="0"/>
              <w:jc w:val="center"/>
              <w:rPr>
                <w:rFonts w:ascii="宋体" w:hAnsi="宋体" w:eastAsia="宋体"/>
                <w:kern w:val="0"/>
                <w:szCs w:val="21"/>
              </w:rPr>
            </w:pPr>
          </w:p>
        </w:tc>
        <w:tc>
          <w:tcPr>
            <w:tcW w:w="2366" w:type="dxa"/>
            <w:vAlign w:val="center"/>
          </w:tcPr>
          <w:p>
            <w:pPr>
              <w:autoSpaceDE w:val="0"/>
              <w:autoSpaceDN w:val="0"/>
              <w:adjustRightInd w:val="0"/>
              <w:jc w:val="left"/>
              <w:rPr>
                <w:rFonts w:ascii="宋体" w:hAnsi="宋体" w:eastAsia="宋体"/>
                <w:kern w:val="0"/>
                <w:szCs w:val="21"/>
              </w:rPr>
            </w:pPr>
          </w:p>
        </w:tc>
        <w:tc>
          <w:tcPr>
            <w:tcW w:w="2166" w:type="dxa"/>
            <w:vAlign w:val="center"/>
          </w:tcPr>
          <w:p>
            <w:pPr>
              <w:autoSpaceDE w:val="0"/>
              <w:autoSpaceDN w:val="0"/>
              <w:adjustRightInd w:val="0"/>
              <w:jc w:val="left"/>
              <w:rPr>
                <w:rFonts w:ascii="宋体" w:hAnsi="宋体" w:eastAsia="宋体"/>
                <w:kern w:val="0"/>
                <w:szCs w:val="21"/>
              </w:rPr>
            </w:pPr>
          </w:p>
        </w:tc>
        <w:tc>
          <w:tcPr>
            <w:tcW w:w="1434" w:type="dxa"/>
            <w:vAlign w:val="center"/>
          </w:tcPr>
          <w:p>
            <w:pPr>
              <w:tabs>
                <w:tab w:val="left" w:pos="397"/>
              </w:tabs>
              <w:autoSpaceDE w:val="0"/>
              <w:autoSpaceDN w:val="0"/>
              <w:adjustRightInd w:val="0"/>
              <w:jc w:val="center"/>
              <w:rPr>
                <w:rFonts w:ascii="宋体" w:hAnsi="宋体" w:eastAsia="宋体"/>
                <w:kern w:val="0"/>
                <w:szCs w:val="21"/>
              </w:rPr>
            </w:pPr>
          </w:p>
        </w:tc>
        <w:tc>
          <w:tcPr>
            <w:tcW w:w="1266"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6</w:t>
            </w:r>
          </w:p>
        </w:tc>
        <w:tc>
          <w:tcPr>
            <w:tcW w:w="910" w:type="dxa"/>
            <w:vAlign w:val="center"/>
          </w:tcPr>
          <w:p>
            <w:pPr>
              <w:autoSpaceDE w:val="0"/>
              <w:autoSpaceDN w:val="0"/>
              <w:adjustRightInd w:val="0"/>
              <w:jc w:val="center"/>
              <w:rPr>
                <w:rFonts w:ascii="宋体" w:hAnsi="宋体" w:eastAsia="宋体"/>
                <w:kern w:val="0"/>
                <w:szCs w:val="21"/>
              </w:rPr>
            </w:pPr>
          </w:p>
        </w:tc>
        <w:tc>
          <w:tcPr>
            <w:tcW w:w="2366" w:type="dxa"/>
            <w:vAlign w:val="center"/>
          </w:tcPr>
          <w:p>
            <w:pPr>
              <w:autoSpaceDE w:val="0"/>
              <w:autoSpaceDN w:val="0"/>
              <w:adjustRightInd w:val="0"/>
              <w:jc w:val="left"/>
              <w:rPr>
                <w:rFonts w:ascii="宋体" w:hAnsi="宋体" w:eastAsia="宋体"/>
                <w:kern w:val="0"/>
                <w:szCs w:val="21"/>
              </w:rPr>
            </w:pPr>
          </w:p>
        </w:tc>
        <w:tc>
          <w:tcPr>
            <w:tcW w:w="2166" w:type="dxa"/>
            <w:vAlign w:val="center"/>
          </w:tcPr>
          <w:p>
            <w:pPr>
              <w:autoSpaceDE w:val="0"/>
              <w:autoSpaceDN w:val="0"/>
              <w:adjustRightInd w:val="0"/>
              <w:jc w:val="left"/>
              <w:rPr>
                <w:rFonts w:ascii="宋体" w:hAnsi="宋体" w:eastAsia="宋体"/>
                <w:kern w:val="0"/>
                <w:szCs w:val="21"/>
              </w:rPr>
            </w:pPr>
          </w:p>
        </w:tc>
        <w:tc>
          <w:tcPr>
            <w:tcW w:w="1434" w:type="dxa"/>
            <w:vAlign w:val="center"/>
          </w:tcPr>
          <w:p>
            <w:pPr>
              <w:tabs>
                <w:tab w:val="left" w:pos="397"/>
              </w:tabs>
              <w:autoSpaceDE w:val="0"/>
              <w:autoSpaceDN w:val="0"/>
              <w:adjustRightInd w:val="0"/>
              <w:jc w:val="center"/>
              <w:rPr>
                <w:rFonts w:ascii="宋体" w:hAnsi="宋体" w:eastAsia="宋体"/>
                <w:kern w:val="0"/>
                <w:szCs w:val="21"/>
              </w:rPr>
            </w:pPr>
          </w:p>
        </w:tc>
        <w:tc>
          <w:tcPr>
            <w:tcW w:w="1266"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7</w:t>
            </w:r>
          </w:p>
        </w:tc>
        <w:tc>
          <w:tcPr>
            <w:tcW w:w="910" w:type="dxa"/>
            <w:vAlign w:val="center"/>
          </w:tcPr>
          <w:p>
            <w:pPr>
              <w:autoSpaceDE w:val="0"/>
              <w:autoSpaceDN w:val="0"/>
              <w:adjustRightInd w:val="0"/>
              <w:jc w:val="center"/>
              <w:rPr>
                <w:rFonts w:ascii="宋体" w:hAnsi="宋体" w:eastAsia="宋体"/>
                <w:kern w:val="0"/>
                <w:szCs w:val="21"/>
              </w:rPr>
            </w:pPr>
          </w:p>
        </w:tc>
        <w:tc>
          <w:tcPr>
            <w:tcW w:w="2366" w:type="dxa"/>
            <w:vAlign w:val="center"/>
          </w:tcPr>
          <w:p>
            <w:pPr>
              <w:autoSpaceDE w:val="0"/>
              <w:autoSpaceDN w:val="0"/>
              <w:adjustRightInd w:val="0"/>
              <w:jc w:val="left"/>
              <w:rPr>
                <w:rFonts w:ascii="宋体" w:hAnsi="宋体" w:eastAsia="宋体"/>
                <w:kern w:val="0"/>
                <w:szCs w:val="21"/>
              </w:rPr>
            </w:pPr>
          </w:p>
        </w:tc>
        <w:tc>
          <w:tcPr>
            <w:tcW w:w="2166" w:type="dxa"/>
            <w:vAlign w:val="center"/>
          </w:tcPr>
          <w:p>
            <w:pPr>
              <w:autoSpaceDE w:val="0"/>
              <w:autoSpaceDN w:val="0"/>
              <w:adjustRightInd w:val="0"/>
              <w:jc w:val="left"/>
              <w:rPr>
                <w:rFonts w:ascii="宋体" w:hAnsi="宋体" w:eastAsia="宋体"/>
                <w:kern w:val="0"/>
                <w:szCs w:val="21"/>
              </w:rPr>
            </w:pPr>
          </w:p>
        </w:tc>
        <w:tc>
          <w:tcPr>
            <w:tcW w:w="1434" w:type="dxa"/>
            <w:vAlign w:val="center"/>
          </w:tcPr>
          <w:p>
            <w:pPr>
              <w:tabs>
                <w:tab w:val="left" w:pos="397"/>
              </w:tabs>
              <w:autoSpaceDE w:val="0"/>
              <w:autoSpaceDN w:val="0"/>
              <w:adjustRightInd w:val="0"/>
              <w:jc w:val="center"/>
              <w:rPr>
                <w:rFonts w:ascii="宋体" w:hAnsi="宋体" w:eastAsia="宋体"/>
                <w:kern w:val="0"/>
                <w:szCs w:val="21"/>
              </w:rPr>
            </w:pPr>
          </w:p>
        </w:tc>
        <w:tc>
          <w:tcPr>
            <w:tcW w:w="1266"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8</w:t>
            </w:r>
          </w:p>
        </w:tc>
        <w:tc>
          <w:tcPr>
            <w:tcW w:w="910" w:type="dxa"/>
            <w:vAlign w:val="center"/>
          </w:tcPr>
          <w:p>
            <w:pPr>
              <w:autoSpaceDE w:val="0"/>
              <w:autoSpaceDN w:val="0"/>
              <w:adjustRightInd w:val="0"/>
              <w:jc w:val="center"/>
              <w:rPr>
                <w:rFonts w:ascii="宋体" w:hAnsi="宋体" w:eastAsia="宋体"/>
                <w:kern w:val="0"/>
                <w:szCs w:val="21"/>
              </w:rPr>
            </w:pPr>
          </w:p>
        </w:tc>
        <w:tc>
          <w:tcPr>
            <w:tcW w:w="2366" w:type="dxa"/>
            <w:vAlign w:val="center"/>
          </w:tcPr>
          <w:p>
            <w:pPr>
              <w:autoSpaceDE w:val="0"/>
              <w:autoSpaceDN w:val="0"/>
              <w:adjustRightInd w:val="0"/>
              <w:jc w:val="left"/>
              <w:rPr>
                <w:rFonts w:ascii="宋体" w:hAnsi="宋体" w:eastAsia="宋体"/>
                <w:kern w:val="0"/>
                <w:szCs w:val="21"/>
              </w:rPr>
            </w:pPr>
          </w:p>
        </w:tc>
        <w:tc>
          <w:tcPr>
            <w:tcW w:w="2166" w:type="dxa"/>
            <w:vAlign w:val="center"/>
          </w:tcPr>
          <w:p>
            <w:pPr>
              <w:autoSpaceDE w:val="0"/>
              <w:autoSpaceDN w:val="0"/>
              <w:adjustRightInd w:val="0"/>
              <w:jc w:val="left"/>
              <w:rPr>
                <w:rFonts w:ascii="宋体" w:hAnsi="宋体" w:eastAsia="宋体"/>
                <w:kern w:val="0"/>
                <w:szCs w:val="21"/>
              </w:rPr>
            </w:pPr>
          </w:p>
        </w:tc>
        <w:tc>
          <w:tcPr>
            <w:tcW w:w="1434" w:type="dxa"/>
            <w:vAlign w:val="center"/>
          </w:tcPr>
          <w:p>
            <w:pPr>
              <w:autoSpaceDE w:val="0"/>
              <w:autoSpaceDN w:val="0"/>
              <w:adjustRightInd w:val="0"/>
              <w:jc w:val="center"/>
              <w:rPr>
                <w:rFonts w:ascii="宋体" w:hAnsi="宋体" w:eastAsia="宋体"/>
                <w:kern w:val="0"/>
                <w:szCs w:val="21"/>
              </w:rPr>
            </w:pPr>
          </w:p>
        </w:tc>
        <w:tc>
          <w:tcPr>
            <w:tcW w:w="1266"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9</w:t>
            </w:r>
          </w:p>
        </w:tc>
        <w:tc>
          <w:tcPr>
            <w:tcW w:w="910" w:type="dxa"/>
            <w:vAlign w:val="center"/>
          </w:tcPr>
          <w:p>
            <w:pPr>
              <w:autoSpaceDE w:val="0"/>
              <w:autoSpaceDN w:val="0"/>
              <w:adjustRightInd w:val="0"/>
              <w:jc w:val="center"/>
              <w:rPr>
                <w:rFonts w:ascii="宋体" w:hAnsi="宋体" w:eastAsia="宋体"/>
                <w:kern w:val="0"/>
                <w:szCs w:val="21"/>
              </w:rPr>
            </w:pPr>
          </w:p>
        </w:tc>
        <w:tc>
          <w:tcPr>
            <w:tcW w:w="2366" w:type="dxa"/>
            <w:vAlign w:val="center"/>
          </w:tcPr>
          <w:p>
            <w:pPr>
              <w:autoSpaceDE w:val="0"/>
              <w:autoSpaceDN w:val="0"/>
              <w:adjustRightInd w:val="0"/>
              <w:jc w:val="left"/>
              <w:rPr>
                <w:rFonts w:ascii="宋体" w:hAnsi="宋体" w:eastAsia="宋体"/>
                <w:kern w:val="0"/>
                <w:szCs w:val="21"/>
              </w:rPr>
            </w:pPr>
          </w:p>
        </w:tc>
        <w:tc>
          <w:tcPr>
            <w:tcW w:w="2166" w:type="dxa"/>
            <w:vAlign w:val="center"/>
          </w:tcPr>
          <w:p>
            <w:pPr>
              <w:autoSpaceDE w:val="0"/>
              <w:autoSpaceDN w:val="0"/>
              <w:adjustRightInd w:val="0"/>
              <w:jc w:val="left"/>
              <w:rPr>
                <w:rFonts w:ascii="宋体" w:hAnsi="宋体" w:eastAsia="宋体"/>
                <w:kern w:val="0"/>
                <w:szCs w:val="21"/>
              </w:rPr>
            </w:pPr>
          </w:p>
        </w:tc>
        <w:tc>
          <w:tcPr>
            <w:tcW w:w="1434" w:type="dxa"/>
            <w:vAlign w:val="center"/>
          </w:tcPr>
          <w:p>
            <w:pPr>
              <w:tabs>
                <w:tab w:val="left" w:pos="397"/>
              </w:tabs>
              <w:autoSpaceDE w:val="0"/>
              <w:autoSpaceDN w:val="0"/>
              <w:adjustRightInd w:val="0"/>
              <w:jc w:val="center"/>
              <w:rPr>
                <w:rFonts w:ascii="宋体" w:hAnsi="宋体" w:eastAsia="宋体"/>
                <w:kern w:val="0"/>
                <w:szCs w:val="21"/>
              </w:rPr>
            </w:pPr>
          </w:p>
        </w:tc>
        <w:tc>
          <w:tcPr>
            <w:tcW w:w="1266"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10</w:t>
            </w:r>
          </w:p>
        </w:tc>
        <w:tc>
          <w:tcPr>
            <w:tcW w:w="910" w:type="dxa"/>
            <w:vAlign w:val="center"/>
          </w:tcPr>
          <w:p>
            <w:pPr>
              <w:autoSpaceDE w:val="0"/>
              <w:autoSpaceDN w:val="0"/>
              <w:adjustRightInd w:val="0"/>
              <w:jc w:val="center"/>
              <w:rPr>
                <w:rFonts w:ascii="宋体" w:hAnsi="宋体" w:eastAsia="宋体"/>
                <w:kern w:val="0"/>
                <w:szCs w:val="21"/>
              </w:rPr>
            </w:pPr>
          </w:p>
        </w:tc>
        <w:tc>
          <w:tcPr>
            <w:tcW w:w="2366" w:type="dxa"/>
            <w:vAlign w:val="center"/>
          </w:tcPr>
          <w:p>
            <w:pPr>
              <w:autoSpaceDE w:val="0"/>
              <w:autoSpaceDN w:val="0"/>
              <w:adjustRightInd w:val="0"/>
              <w:jc w:val="left"/>
              <w:rPr>
                <w:rFonts w:ascii="宋体" w:hAnsi="宋体" w:eastAsia="宋体"/>
                <w:kern w:val="0"/>
                <w:szCs w:val="21"/>
              </w:rPr>
            </w:pPr>
          </w:p>
        </w:tc>
        <w:tc>
          <w:tcPr>
            <w:tcW w:w="2166" w:type="dxa"/>
            <w:vAlign w:val="center"/>
          </w:tcPr>
          <w:p>
            <w:pPr>
              <w:autoSpaceDE w:val="0"/>
              <w:autoSpaceDN w:val="0"/>
              <w:adjustRightInd w:val="0"/>
              <w:jc w:val="left"/>
              <w:rPr>
                <w:rFonts w:ascii="宋体" w:hAnsi="宋体" w:eastAsia="宋体"/>
                <w:kern w:val="0"/>
                <w:szCs w:val="21"/>
              </w:rPr>
            </w:pPr>
          </w:p>
        </w:tc>
        <w:tc>
          <w:tcPr>
            <w:tcW w:w="1434" w:type="dxa"/>
            <w:vAlign w:val="center"/>
          </w:tcPr>
          <w:p>
            <w:pPr>
              <w:tabs>
                <w:tab w:val="left" w:pos="397"/>
              </w:tabs>
              <w:autoSpaceDE w:val="0"/>
              <w:autoSpaceDN w:val="0"/>
              <w:adjustRightInd w:val="0"/>
              <w:jc w:val="center"/>
              <w:rPr>
                <w:rFonts w:ascii="宋体" w:hAnsi="宋体" w:eastAsia="宋体"/>
                <w:kern w:val="0"/>
                <w:szCs w:val="21"/>
              </w:rPr>
            </w:pPr>
          </w:p>
        </w:tc>
        <w:tc>
          <w:tcPr>
            <w:tcW w:w="1266" w:type="dxa"/>
            <w:vAlign w:val="center"/>
          </w:tcPr>
          <w:p>
            <w:pPr>
              <w:autoSpaceDE w:val="0"/>
              <w:autoSpaceDN w:val="0"/>
              <w:adjustRightInd w:val="0"/>
              <w:jc w:val="left"/>
              <w:rPr>
                <w:rFonts w:ascii="宋体" w:hAnsi="宋体" w:eastAsia="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6" w:type="dxa"/>
            <w:vAlign w:val="center"/>
          </w:tcPr>
          <w:p>
            <w:pPr>
              <w:autoSpaceDE w:val="0"/>
              <w:autoSpaceDN w:val="0"/>
              <w:adjustRightInd w:val="0"/>
              <w:jc w:val="center"/>
              <w:rPr>
                <w:rFonts w:ascii="宋体" w:hAnsi="宋体" w:eastAsia="宋体"/>
                <w:kern w:val="0"/>
                <w:szCs w:val="21"/>
              </w:rPr>
            </w:pPr>
            <w:r>
              <w:rPr>
                <w:rFonts w:hint="eastAsia" w:ascii="宋体" w:hAnsi="宋体" w:eastAsia="宋体"/>
                <w:kern w:val="0"/>
                <w:szCs w:val="21"/>
              </w:rPr>
              <w:t>11</w:t>
            </w:r>
          </w:p>
        </w:tc>
        <w:tc>
          <w:tcPr>
            <w:tcW w:w="910" w:type="dxa"/>
            <w:vAlign w:val="center"/>
          </w:tcPr>
          <w:p>
            <w:pPr>
              <w:autoSpaceDE w:val="0"/>
              <w:autoSpaceDN w:val="0"/>
              <w:adjustRightInd w:val="0"/>
              <w:jc w:val="center"/>
              <w:rPr>
                <w:rFonts w:ascii="宋体" w:hAnsi="宋体" w:eastAsia="宋体"/>
                <w:kern w:val="0"/>
                <w:szCs w:val="21"/>
              </w:rPr>
            </w:pPr>
          </w:p>
        </w:tc>
        <w:tc>
          <w:tcPr>
            <w:tcW w:w="2366" w:type="dxa"/>
            <w:vAlign w:val="center"/>
          </w:tcPr>
          <w:p>
            <w:pPr>
              <w:autoSpaceDE w:val="0"/>
              <w:autoSpaceDN w:val="0"/>
              <w:adjustRightInd w:val="0"/>
              <w:jc w:val="left"/>
              <w:rPr>
                <w:rFonts w:ascii="宋体" w:hAnsi="宋体" w:eastAsia="宋体"/>
                <w:kern w:val="0"/>
                <w:szCs w:val="21"/>
              </w:rPr>
            </w:pPr>
          </w:p>
        </w:tc>
        <w:tc>
          <w:tcPr>
            <w:tcW w:w="2166" w:type="dxa"/>
            <w:vAlign w:val="center"/>
          </w:tcPr>
          <w:p>
            <w:pPr>
              <w:autoSpaceDE w:val="0"/>
              <w:autoSpaceDN w:val="0"/>
              <w:adjustRightInd w:val="0"/>
              <w:jc w:val="left"/>
              <w:rPr>
                <w:rFonts w:ascii="宋体" w:hAnsi="宋体" w:eastAsia="宋体"/>
                <w:kern w:val="0"/>
                <w:szCs w:val="21"/>
              </w:rPr>
            </w:pPr>
          </w:p>
        </w:tc>
        <w:tc>
          <w:tcPr>
            <w:tcW w:w="1434" w:type="dxa"/>
            <w:vAlign w:val="center"/>
          </w:tcPr>
          <w:p>
            <w:pPr>
              <w:tabs>
                <w:tab w:val="left" w:pos="397"/>
              </w:tabs>
              <w:autoSpaceDE w:val="0"/>
              <w:autoSpaceDN w:val="0"/>
              <w:adjustRightInd w:val="0"/>
              <w:jc w:val="center"/>
              <w:rPr>
                <w:rFonts w:ascii="宋体" w:hAnsi="宋体" w:eastAsia="宋体"/>
                <w:kern w:val="0"/>
                <w:szCs w:val="21"/>
              </w:rPr>
            </w:pPr>
          </w:p>
        </w:tc>
        <w:tc>
          <w:tcPr>
            <w:tcW w:w="1266" w:type="dxa"/>
            <w:vAlign w:val="center"/>
          </w:tcPr>
          <w:p>
            <w:pPr>
              <w:autoSpaceDE w:val="0"/>
              <w:autoSpaceDN w:val="0"/>
              <w:adjustRightInd w:val="0"/>
              <w:jc w:val="left"/>
              <w:rPr>
                <w:rFonts w:ascii="宋体" w:hAnsi="宋体" w:eastAsia="宋体"/>
                <w:kern w:val="0"/>
                <w:szCs w:val="21"/>
              </w:rPr>
            </w:pPr>
          </w:p>
        </w:tc>
      </w:tr>
    </w:tbl>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（五）审查阶段</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202</w:t>
      </w:r>
      <w:r>
        <w:rPr>
          <w:rFonts w:ascii="宋体" w:hAnsi="宋体" w:eastAsia="宋体"/>
          <w:kern w:val="0"/>
          <w:szCs w:val="21"/>
        </w:rPr>
        <w:t>4</w:t>
      </w:r>
      <w:r>
        <w:rPr>
          <w:rFonts w:hint="eastAsia" w:ascii="宋体" w:hAnsi="宋体" w:eastAsia="宋体"/>
          <w:kern w:val="0"/>
          <w:szCs w:val="21"/>
        </w:rPr>
        <w:t>年</w:t>
      </w:r>
      <w:r>
        <w:rPr>
          <w:rFonts w:ascii="宋体" w:hAnsi="宋体" w:eastAsia="宋体"/>
          <w:kern w:val="0"/>
          <w:szCs w:val="21"/>
        </w:rPr>
        <w:t>XX</w:t>
      </w:r>
      <w:r>
        <w:rPr>
          <w:rFonts w:hint="eastAsia" w:ascii="宋体" w:hAnsi="宋体" w:eastAsia="宋体"/>
          <w:kern w:val="0"/>
          <w:szCs w:val="21"/>
        </w:rPr>
        <w:t>月</w:t>
      </w:r>
      <w:r>
        <w:rPr>
          <w:rFonts w:ascii="宋体" w:hAnsi="宋体" w:eastAsia="宋体"/>
          <w:kern w:val="0"/>
          <w:szCs w:val="21"/>
        </w:rPr>
        <w:t>XX</w:t>
      </w:r>
      <w:r>
        <w:rPr>
          <w:rFonts w:hint="eastAsia" w:ascii="宋体" w:hAnsi="宋体" w:eastAsia="宋体"/>
          <w:kern w:val="0"/>
          <w:szCs w:val="21"/>
        </w:rPr>
        <w:t>日，长春市市场监督管理局在长春市组织召开了《肉牛饲养技术规范</w:t>
      </w:r>
      <w:r>
        <w:rPr>
          <w:rFonts w:ascii="宋体" w:hAnsi="宋体" w:eastAsia="宋体"/>
          <w:kern w:val="0"/>
          <w:szCs w:val="21"/>
        </w:rPr>
        <w:t xml:space="preserve"> 第3部分：育肥犊牛</w:t>
      </w:r>
      <w:r>
        <w:rPr>
          <w:rFonts w:hint="eastAsia" w:ascii="宋体" w:hAnsi="宋体" w:eastAsia="宋体"/>
          <w:kern w:val="0"/>
          <w:szCs w:val="21"/>
        </w:rPr>
        <w:t>》（送审稿）审查会，来自XX的XX家单位的XX位专家出席会议，并组成标准审查组。标准起草工作组汇报了标准制定情况及有关说明。审查专家组听取并审阅了标准起草组提交的《肉牛饲养技术规范</w:t>
      </w:r>
      <w:r>
        <w:rPr>
          <w:rFonts w:ascii="宋体" w:hAnsi="宋体" w:eastAsia="宋体"/>
          <w:kern w:val="0"/>
          <w:szCs w:val="21"/>
        </w:rPr>
        <w:t xml:space="preserve"> 第3部分：育肥犊牛</w:t>
      </w:r>
      <w:r>
        <w:rPr>
          <w:rFonts w:hint="eastAsia" w:ascii="宋体" w:hAnsi="宋体" w:eastAsia="宋体"/>
          <w:kern w:val="0"/>
          <w:szCs w:val="21"/>
        </w:rPr>
        <w:t>》送审稿的标准文本、编制说明、征求意见汇总及处理等文件资料。与会专家对《肉牛饲养技术规范</w:t>
      </w:r>
      <w:r>
        <w:rPr>
          <w:rFonts w:ascii="宋体" w:hAnsi="宋体" w:eastAsia="宋体"/>
          <w:kern w:val="0"/>
          <w:szCs w:val="21"/>
        </w:rPr>
        <w:t xml:space="preserve"> 第3部分：育肥犊牛</w:t>
      </w:r>
      <w:r>
        <w:rPr>
          <w:rFonts w:hint="eastAsia" w:ascii="宋体" w:hAnsi="宋体" w:eastAsia="宋体"/>
          <w:kern w:val="0"/>
          <w:szCs w:val="21"/>
        </w:rPr>
        <w:t>》文本进行了逐章逐条地审查，并提出了修改意见。经充分讨论，审查专家组一致同意通过《肉牛饲养技术规范</w:t>
      </w:r>
      <w:r>
        <w:rPr>
          <w:rFonts w:ascii="宋体" w:hAnsi="宋体" w:eastAsia="宋体"/>
          <w:kern w:val="0"/>
          <w:szCs w:val="21"/>
        </w:rPr>
        <w:t xml:space="preserve"> 第3部分：育肥犊牛</w:t>
      </w:r>
      <w:r>
        <w:rPr>
          <w:rFonts w:hint="eastAsia" w:ascii="宋体" w:hAnsi="宋体" w:eastAsia="宋体"/>
          <w:kern w:val="0"/>
          <w:szCs w:val="21"/>
        </w:rPr>
        <w:t>》的审定。</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（六）报批阶段</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标准起草小组根据专家组意见对送审稿做了进一步修改和完善，形成报批材料，提交长春市市场监督管理局报批。</w:t>
      </w:r>
    </w:p>
    <w:p>
      <w:pPr>
        <w:spacing w:line="360" w:lineRule="auto"/>
        <w:ind w:firstLine="420" w:firstLineChars="200"/>
        <w:rPr>
          <w:rFonts w:ascii="宋体" w:hAnsi="宋体" w:eastAsia="宋体"/>
          <w:szCs w:val="21"/>
        </w:rPr>
      </w:pPr>
      <w:r>
        <w:rPr>
          <w:rFonts w:hint="eastAsia" w:ascii="黑体" w:hAnsi="黑体" w:eastAsia="黑体" w:cs="黑体"/>
          <w:kern w:val="0"/>
          <w:szCs w:val="21"/>
        </w:rPr>
        <w:t>四、制定标准的原则和依据，与现行法律、法规、标准的关系</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（一）标准编制原则</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标准编制遵循“科学性、统一性、协调性、适用性、一致性和规范性”原则，在广泛调查研究的基础上，参照国内有关标准和规范要求，通过多年实践验证，制定了本标准。</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（二）编制依据</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1、本标准依据GB/T 1.1—2020《标准化工作导则 第1部分：标准的结构和编写规则》的要求和规定起草制定。</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2、本标准技术指标适用肉牛的犊牛育肥，对肉牛犊牛的育肥方式、饲养技术规范内容作出规定，确保内容科学、准确，明确、具体，切实可行，具有可操作性。本标准各项要求的确立，主要参照《中华人民共和国畜牧法》《中华人民共和国动物防疫法》《长春市人民政府办公厅关于印发“秸秆变肉”暨三百万头肉牛产业建设工程实施方案的通知》（长府办发〔2021〕41号)、《长春市人民政府办公厅关于印发推动肉牛产业高质量发展若干措施的通知》（长府办规〔2022〕9号）等法律法规、文件。根据标准需要，指出了本标准的适用范围。在各项指标确定上，在参照国内相同级别育肥牛资料的基础上，重点根据我市现有肉牛品种特性，依据实际生产情况，注重实用性。</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（三）与有关的现行法律、法规和标准的关系</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本标准未涉及相关的强制性国家标准。本标准与现行法律、法规和标准无冲突、矛盾，具备协调一致性。</w:t>
      </w:r>
    </w:p>
    <w:p>
      <w:pPr>
        <w:widowControl/>
        <w:spacing w:line="360" w:lineRule="auto"/>
        <w:ind w:firstLine="420" w:firstLineChars="200"/>
        <w:rPr>
          <w:rFonts w:ascii="黑体" w:hAnsi="黑体" w:eastAsia="黑体" w:cs="黑体"/>
          <w:kern w:val="0"/>
          <w:szCs w:val="21"/>
        </w:rPr>
      </w:pPr>
      <w:r>
        <w:rPr>
          <w:rFonts w:hint="eastAsia" w:ascii="黑体" w:hAnsi="黑体" w:eastAsia="黑体" w:cs="黑体"/>
          <w:color w:val="000000" w:themeColor="text1"/>
          <w:kern w:val="0"/>
          <w:szCs w:val="21"/>
          <w14:textFill>
            <w14:solidFill>
              <w14:schemeClr w14:val="tx1"/>
            </w14:solidFill>
          </w14:textFill>
        </w:rPr>
        <w:t>五、</w:t>
      </w:r>
      <w:r>
        <w:rPr>
          <w:rFonts w:hint="eastAsia" w:ascii="黑体" w:hAnsi="黑体" w:eastAsia="黑体" w:cs="黑体"/>
          <w:kern w:val="0"/>
          <w:szCs w:val="21"/>
        </w:rPr>
        <w:t>主要条款的说明，主要技术指标、参数、试验验证的论述</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标准起草小组深入基层，通过实地走访、入户调查等方式，对农安县、榆树市、九台区等县（市）区部分乡镇畜牧兽医服务机构、肉牛养殖场（户）进行广泛细致的调查研究，共入户走访了乡镇畜牧兽医服务机构13家、肉牛养殖场（户）37家，基本覆盖了长春市各县（市）区，掌握了育肥牛品种、育肥性能等情况。通过对肉牛数据进行归纳，统计出长春市现有牛品种13个，</w:t>
      </w:r>
      <w:r>
        <w:rPr>
          <w:rFonts w:hint="eastAsia" w:ascii="宋体" w:hAnsi="宋体" w:eastAsia="宋体"/>
          <w:kern w:val="0"/>
          <w:szCs w:val="21"/>
        </w:rPr>
        <w:t>截至2023年末，长春市牛发展到 166.2 万头</w:t>
      </w:r>
      <w:r>
        <w:rPr>
          <w:rFonts w:hint="eastAsia" w:ascii="宋体" w:hAnsi="宋体" w:eastAsia="宋体"/>
          <w:color w:val="000000" w:themeColor="text1"/>
          <w:kern w:val="0"/>
          <w:szCs w:val="21"/>
          <w14:textFill>
            <w14:solidFill>
              <w14:schemeClr w14:val="tx1"/>
            </w14:solidFill>
          </w14:textFill>
        </w:rPr>
        <w:t>。以《中华人民共和国畜牧法》和《中华人民共和国动物防疫法》为基准，结合长春市肉牛养殖实际情况进行分析研究，制定了本标准主要章节内容，包括术语和定义、环境要求、饲料和饮水、饲养、管理、疫病防控、废弃物处理、标识和档案管理等技术要求。</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3</w:t>
      </w:r>
      <w:r>
        <w:rPr>
          <w:rFonts w:ascii="宋体" w:hAnsi="宋体" w:eastAsia="宋体"/>
          <w:color w:val="000000" w:themeColor="text1"/>
          <w:kern w:val="0"/>
          <w:szCs w:val="21"/>
          <w14:textFill>
            <w14:solidFill>
              <w14:schemeClr w14:val="tx1"/>
            </w14:solidFill>
          </w14:textFill>
        </w:rPr>
        <w:t>　</w:t>
      </w:r>
      <w:r>
        <w:rPr>
          <w:rFonts w:hint="eastAsia" w:ascii="宋体" w:hAnsi="宋体" w:eastAsia="宋体"/>
          <w:color w:val="000000" w:themeColor="text1"/>
          <w:kern w:val="0"/>
          <w:szCs w:val="21"/>
          <w14:textFill>
            <w14:solidFill>
              <w14:schemeClr w14:val="tx1"/>
            </w14:solidFill>
          </w14:textFill>
        </w:rPr>
        <w:t>术语和定义</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下列术语和定义适用于本文件。</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3.1　</w:t>
      </w:r>
      <w:r>
        <w:rPr>
          <w:rFonts w:hint="eastAsia" w:ascii="宋体" w:hAnsi="宋体" w:eastAsia="宋体"/>
          <w:color w:val="000000" w:themeColor="text1"/>
          <w:kern w:val="0"/>
          <w:szCs w:val="21"/>
          <w14:textFill>
            <w14:solidFill>
              <w14:schemeClr w14:val="tx1"/>
            </w14:solidFill>
          </w14:textFill>
        </w:rPr>
        <w:t>育肥犊牛</w:t>
      </w:r>
      <w:r>
        <w:rPr>
          <w:rFonts w:ascii="宋体" w:hAnsi="宋体" w:eastAsia="宋体"/>
          <w:color w:val="000000" w:themeColor="text1"/>
          <w:kern w:val="0"/>
          <w:szCs w:val="21"/>
          <w14:textFill>
            <w14:solidFill>
              <w14:schemeClr w14:val="tx1"/>
            </w14:solidFill>
          </w14:textFill>
        </w:rPr>
        <w:t xml:space="preserve"> fattening calves</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以产肉为目的的断奶犊牛。</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4　环境要求</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牛场应建在干燥、排水良好、易于组织防疫的避风、向阳处，周围</w:t>
      </w:r>
      <w:r>
        <w:rPr>
          <w:rFonts w:ascii="宋体" w:hAnsi="宋体" w:eastAsia="宋体"/>
          <w:color w:val="000000" w:themeColor="text1"/>
          <w:kern w:val="0"/>
          <w:szCs w:val="21"/>
          <w14:textFill>
            <w14:solidFill>
              <w14:schemeClr w14:val="tx1"/>
            </w14:solidFill>
          </w14:textFill>
        </w:rPr>
        <w:t xml:space="preserve"> 1000 m 内无大型化工厂、皮革厂、肉品加工厂、饲料厂和畜牧场污染源，距离干线公路、铁路、居民区和公共场所 500 m 以上，周围建立绿化隔离带。饲养区内不应饲养其他经济用途的动物，饲养区外 1000 m 内不应饲养偶蹄动物。环境质量按 NY/T 388 规定执行。</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5　饲料和饮水</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5.1　饲料</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饲料原料和饲料添加剂应符合《饲料原料目录》和《饲料添加剂品种目录》，对采购的饲料进行采样和化验，采样按</w:t>
      </w:r>
      <w:r>
        <w:rPr>
          <w:rFonts w:ascii="宋体" w:hAnsi="宋体" w:eastAsia="宋体"/>
          <w:color w:val="000000" w:themeColor="text1"/>
          <w:kern w:val="0"/>
          <w:szCs w:val="21"/>
          <w14:textFill>
            <w14:solidFill>
              <w14:schemeClr w14:val="tx1"/>
            </w14:solidFill>
          </w14:textFill>
        </w:rPr>
        <w:t xml:space="preserve"> GB/T 14699 的规定执行，饲料卫生标准按 GB 13078 执行。饲料保质期以产品标签标示为最终判断依据，饲料和饲料添加剂应保存于洁净、干燥、无污染场地，禁止饲喂霉败变质饲料。</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5.2　饮水</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饮水水质应符合</w:t>
      </w:r>
      <w:r>
        <w:rPr>
          <w:rFonts w:ascii="宋体" w:hAnsi="宋体" w:eastAsia="宋体"/>
          <w:color w:val="000000" w:themeColor="text1"/>
          <w:kern w:val="0"/>
          <w:szCs w:val="21"/>
          <w14:textFill>
            <w14:solidFill>
              <w14:schemeClr w14:val="tx1"/>
            </w14:solidFill>
          </w14:textFill>
        </w:rPr>
        <w:t xml:space="preserve"> NY 5027 的要求，冬季不宜饮用冰水。</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6　饲养</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6.1　育肥犊牛的选择</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育肥犊牛应尽量选择早期生长发育速度快的品种，其中肉用公犊、淘汰母犊是良好的选材。犊牛初生重应不低于</w:t>
      </w:r>
      <w:r>
        <w:rPr>
          <w:rFonts w:ascii="宋体" w:hAnsi="宋体" w:eastAsia="宋体"/>
          <w:color w:val="000000" w:themeColor="text1"/>
          <w:kern w:val="0"/>
          <w:szCs w:val="21"/>
          <w14:textFill>
            <w14:solidFill>
              <w14:schemeClr w14:val="tx1"/>
            </w14:solidFill>
          </w14:textFill>
        </w:rPr>
        <w:t xml:space="preserve"> 25 kg，一般为 40 kg～42 kg。供犊牛的牛场无传染病，犊牛健康无病。</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6.2　育肥犊牛日粮与饲喂</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6.2.1　粗饲料优先选择本地饲草资源，如玉米秸秆、优质燕麦干草等。</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6.2.2　精饲料中粗蛋白质≥18%，赖氨酸≥0.7%，总磷≥0.50%，钙 0.70%～1.80%，氯化钠 0.2%～1.0%。</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6.2.3　日粮配方按 NY/T 815 相应体重牛只的营养需要规定执行。</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6.2.4　犊牛 0 日龄～10 日龄，可以采用随母哺乳或人工哺乳代乳粉，乳质应符合 GB 19301 的规定。11日龄～15 日龄，饲喂牛乳或代乳粉 1.0 kg/d，3 次/d，开始试喂犊牛精料补充料，代乳粉的粉水比例为 1:7。15 日龄～30 日龄，饲喂牛乳或代乳粉逐步降低至 0.75 kg/d，3 次/d，犊牛精料补充料逐步增加到 100 g/d，3 次/d。31 日龄～60 日龄，饲喂牛乳或代乳粉 0.75 kg/d，3次/d，犊牛精料补充料 150 g/d，3 次/d，开始饲喂优质干草诱食。61 日龄～90 日龄，饲喂牛乳或代乳粉 0.75 kg/d，2 次/d，犊牛精料补充料逐步增加到 250 g/d，2 次/d，自由采食粗饲料。90 日龄后断奶，精料补充料逐步增加到 800 g/d，2 次/d，自由采食粗饲料。</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7　管理</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7.1　舍消毒</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在牛只转入牛舍之前对牛舍进行消毒。地面和墙壁采用</w:t>
      </w:r>
      <w:r>
        <w:rPr>
          <w:rFonts w:ascii="宋体" w:hAnsi="宋体" w:eastAsia="宋体"/>
          <w:color w:val="000000" w:themeColor="text1"/>
          <w:kern w:val="0"/>
          <w:szCs w:val="21"/>
          <w14:textFill>
            <w14:solidFill>
              <w14:schemeClr w14:val="tx1"/>
            </w14:solidFill>
          </w14:textFill>
        </w:rPr>
        <w:t xml:space="preserve"> 2％ 氢氧化钠溶液喷洒消毒；器具一般采用 0.1％ 高锰酸钾溶液消毒。</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7.2　分群饲养</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根据牛群大小，应尽量把相近年龄的牛进行分群饲养。分群一般在临近夜晚时进行较容易成功，分群当晚管理人员不时地到牛舍查看，有争斗情况，及时处置。</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 xml:space="preserve">7.3　保持卫生 </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每天对牛舍清扫</w:t>
      </w:r>
      <w:r>
        <w:rPr>
          <w:rFonts w:ascii="宋体" w:hAnsi="宋体" w:eastAsia="宋体"/>
          <w:color w:val="000000" w:themeColor="text1"/>
          <w:kern w:val="0"/>
          <w:szCs w:val="21"/>
          <w14:textFill>
            <w14:solidFill>
              <w14:schemeClr w14:val="tx1"/>
            </w14:solidFill>
          </w14:textFill>
        </w:rPr>
        <w:t xml:space="preserve"> 2 次，上、下午各 1 次，清除污物和粪便，经常保持牛舍内清洁卫生。每隔 15 日或 1 个月对用具、地面消毒一次。在育肥犊牛饲养过程中，每日在喂牛后对牛体刷拭 2 次，用软毛刷从前至后，从上至下刷拭。</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8　疫病防控</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一般犊牛断奶后要进行一次驱虫，之后</w:t>
      </w:r>
      <w:r>
        <w:rPr>
          <w:rFonts w:ascii="宋体" w:hAnsi="宋体" w:eastAsia="宋体"/>
          <w:color w:val="000000" w:themeColor="text1"/>
          <w:kern w:val="0"/>
          <w:szCs w:val="21"/>
          <w14:textFill>
            <w14:solidFill>
              <w14:schemeClr w14:val="tx1"/>
            </w14:solidFill>
          </w14:textFill>
        </w:rPr>
        <w:t xml:space="preserve"> 10 个月～12 个月再进行一次驱虫。牛场应按照畜牧兽医主管部门的要求，结合当地流行病学特点，制定合理的免疫程序和免疫计划，适时免疫接种。兽药使用按 NY/T 472 规定执行。</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9　废弃物处理</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粪污无害化处理按</w:t>
      </w:r>
      <w:r>
        <w:rPr>
          <w:rFonts w:ascii="宋体" w:hAnsi="宋体" w:eastAsia="宋体"/>
          <w:color w:val="000000" w:themeColor="text1"/>
          <w:kern w:val="0"/>
          <w:szCs w:val="21"/>
          <w14:textFill>
            <w14:solidFill>
              <w14:schemeClr w14:val="tx1"/>
            </w14:solidFill>
          </w14:textFill>
        </w:rPr>
        <w:t xml:space="preserve"> GB/T 36195 规定执行。病死牛只处理按中华人民共和国农医发2017 年第 25 号《病死及病害动物无害化处理技术规范》规定执行。</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ascii="宋体" w:hAnsi="宋体" w:eastAsia="宋体"/>
          <w:color w:val="000000" w:themeColor="text1"/>
          <w:kern w:val="0"/>
          <w:szCs w:val="21"/>
          <w14:textFill>
            <w14:solidFill>
              <w14:schemeClr w14:val="tx1"/>
            </w14:solidFill>
          </w14:textFill>
        </w:rPr>
        <w:t>10　标识和档案管理</w:t>
      </w:r>
    </w:p>
    <w:p>
      <w:pPr>
        <w:widowControl/>
        <w:spacing w:line="360" w:lineRule="auto"/>
        <w:ind w:firstLine="420" w:firstLineChars="200"/>
        <w:rPr>
          <w:rFonts w:ascii="宋体" w:hAnsi="宋体" w:eastAsia="宋体"/>
          <w:color w:val="000000" w:themeColor="text1"/>
          <w:kern w:val="0"/>
          <w:szCs w:val="21"/>
          <w14:textFill>
            <w14:solidFill>
              <w14:schemeClr w14:val="tx1"/>
            </w14:solidFill>
          </w14:textFill>
        </w:rPr>
      </w:pPr>
      <w:r>
        <w:rPr>
          <w:rFonts w:hint="eastAsia" w:ascii="宋体" w:hAnsi="宋体" w:eastAsia="宋体"/>
          <w:color w:val="000000" w:themeColor="text1"/>
          <w:kern w:val="0"/>
          <w:szCs w:val="21"/>
          <w14:textFill>
            <w14:solidFill>
              <w14:schemeClr w14:val="tx1"/>
            </w14:solidFill>
          </w14:textFill>
        </w:rPr>
        <w:t>按中华人民共和国农业部令</w:t>
      </w:r>
      <w:r>
        <w:rPr>
          <w:rFonts w:ascii="宋体" w:hAnsi="宋体" w:eastAsia="宋体"/>
          <w:color w:val="000000" w:themeColor="text1"/>
          <w:kern w:val="0"/>
          <w:szCs w:val="21"/>
          <w14:textFill>
            <w14:solidFill>
              <w14:schemeClr w14:val="tx1"/>
            </w14:solidFill>
          </w14:textFill>
        </w:rPr>
        <w:t xml:space="preserve"> 2006 年第 67 号《畜禽标识和养殖档案管理办法》规定执行。</w:t>
      </w:r>
    </w:p>
    <w:p>
      <w:pPr>
        <w:widowControl/>
        <w:spacing w:line="360" w:lineRule="auto"/>
        <w:ind w:firstLine="420" w:firstLineChars="200"/>
        <w:rPr>
          <w:rFonts w:ascii="黑体" w:hAnsi="黑体" w:eastAsia="黑体" w:cs="黑体"/>
          <w:kern w:val="0"/>
          <w:szCs w:val="21"/>
        </w:rPr>
      </w:pPr>
      <w:r>
        <w:rPr>
          <w:rFonts w:hint="eastAsia" w:ascii="黑体" w:hAnsi="黑体" w:eastAsia="黑体" w:cs="黑体"/>
          <w:kern w:val="0"/>
          <w:szCs w:val="21"/>
        </w:rPr>
        <w:t>六、重大分歧意见的处理依据和结果</w:t>
      </w:r>
    </w:p>
    <w:p>
      <w:pPr>
        <w:widowControl/>
        <w:spacing w:line="360" w:lineRule="auto"/>
        <w:ind w:firstLine="420" w:firstLineChars="200"/>
        <w:rPr>
          <w:rFonts w:ascii="宋体" w:hAnsi="宋体" w:eastAsia="宋体"/>
          <w:color w:val="000000"/>
          <w:kern w:val="0"/>
          <w:szCs w:val="21"/>
        </w:rPr>
      </w:pPr>
      <w:r>
        <w:rPr>
          <w:rFonts w:hint="eastAsia" w:ascii="宋体" w:hAnsi="宋体" w:eastAsia="宋体"/>
          <w:color w:val="000000"/>
          <w:kern w:val="0"/>
          <w:szCs w:val="21"/>
        </w:rPr>
        <w:t xml:space="preserve"> 针对未采纳意见，已与提出专家进行充分沟通，告知未采纳理由，并得到专家对于意见不进行采纳的认可，过程中没有重大分歧意见。</w:t>
      </w:r>
    </w:p>
    <w:p>
      <w:pPr>
        <w:widowControl/>
        <w:spacing w:line="360" w:lineRule="auto"/>
        <w:ind w:firstLine="420" w:firstLineChars="200"/>
        <w:rPr>
          <w:rFonts w:ascii="黑体" w:hAnsi="黑体" w:eastAsia="黑体" w:cs="黑体"/>
          <w:kern w:val="0"/>
          <w:szCs w:val="21"/>
        </w:rPr>
      </w:pPr>
      <w:r>
        <w:rPr>
          <w:rFonts w:hint="eastAsia" w:ascii="黑体" w:hAnsi="黑体" w:eastAsia="黑体" w:cs="黑体"/>
          <w:kern w:val="0"/>
          <w:szCs w:val="21"/>
        </w:rPr>
        <w:t>七、采用国际标准或国外先进标准的，说明采标程度，以及国内外同类标准水平的对比情况</w:t>
      </w:r>
    </w:p>
    <w:p>
      <w:pPr>
        <w:spacing w:line="360" w:lineRule="auto"/>
        <w:ind w:firstLine="420" w:firstLineChars="200"/>
        <w:rPr>
          <w:rFonts w:ascii="宋体" w:hAnsi="宋体" w:eastAsia="宋体"/>
          <w:kern w:val="0"/>
          <w:szCs w:val="21"/>
        </w:rPr>
      </w:pPr>
      <w:r>
        <w:rPr>
          <w:rFonts w:hint="eastAsia" w:ascii="宋体" w:hAnsi="宋体" w:eastAsia="宋体"/>
          <w:kern w:val="0"/>
          <w:szCs w:val="21"/>
        </w:rPr>
        <w:t>未采用国际或国外标准。通过联机检索，我国目前尚无相关国家标准、行业标准和地方标准。经过检索只有与本标准相关的标准有</w:t>
      </w:r>
      <w:r>
        <w:rPr>
          <w:rFonts w:ascii="宋体" w:hAnsi="宋体" w:eastAsia="宋体"/>
          <w:kern w:val="0"/>
          <w:szCs w:val="21"/>
        </w:rPr>
        <w:t>DB22/T 934</w:t>
      </w:r>
      <w:r>
        <w:rPr>
          <w:rFonts w:hint="eastAsia" w:ascii="宋体" w:hAnsi="宋体" w:eastAsia="宋体"/>
          <w:kern w:val="0"/>
          <w:szCs w:val="21"/>
        </w:rPr>
        <w:t xml:space="preserve"> 延边黄牛</w:t>
      </w:r>
      <w:r>
        <w:rPr>
          <w:rFonts w:ascii="宋体" w:hAnsi="宋体" w:eastAsia="宋体"/>
          <w:kern w:val="0"/>
          <w:szCs w:val="21"/>
        </w:rPr>
        <w:t xml:space="preserve"> 育肥牛饲养技术规程</w:t>
      </w:r>
      <w:r>
        <w:rPr>
          <w:rFonts w:hint="eastAsia" w:ascii="宋体" w:hAnsi="宋体" w:eastAsia="宋体"/>
          <w:kern w:val="0"/>
          <w:szCs w:val="21"/>
        </w:rPr>
        <w:t>（吉林省地方标准）、</w:t>
      </w:r>
      <w:r>
        <w:rPr>
          <w:rFonts w:ascii="宋体" w:hAnsi="宋体" w:eastAsia="宋体"/>
          <w:kern w:val="0"/>
          <w:szCs w:val="21"/>
        </w:rPr>
        <w:t>DB22/T 1001</w:t>
      </w:r>
      <w:r>
        <w:rPr>
          <w:rFonts w:hint="eastAsia" w:ascii="宋体" w:hAnsi="宋体" w:eastAsia="宋体"/>
          <w:kern w:val="0"/>
          <w:szCs w:val="21"/>
        </w:rPr>
        <w:t xml:space="preserve"> </w:t>
      </w:r>
      <w:r>
        <w:rPr>
          <w:rFonts w:ascii="宋体" w:hAnsi="宋体" w:eastAsia="宋体"/>
          <w:kern w:val="0"/>
          <w:szCs w:val="21"/>
        </w:rPr>
        <w:t>优质肉牛饲养管理技术规程</w:t>
      </w:r>
      <w:r>
        <w:rPr>
          <w:rFonts w:hint="eastAsia" w:ascii="宋体" w:hAnsi="宋体" w:eastAsia="宋体"/>
          <w:kern w:val="0"/>
          <w:szCs w:val="21"/>
        </w:rPr>
        <w:t>（吉林省地方标准）、</w:t>
      </w:r>
      <w:r>
        <w:rPr>
          <w:rFonts w:ascii="宋体" w:hAnsi="宋体" w:eastAsia="宋体"/>
          <w:kern w:val="0"/>
          <w:szCs w:val="21"/>
        </w:rPr>
        <w:t>T/5115YBAPS 021 育肥牛饲养管理技术规程</w:t>
      </w:r>
      <w:r>
        <w:rPr>
          <w:rFonts w:hint="eastAsia" w:ascii="宋体" w:hAnsi="宋体" w:eastAsia="宋体"/>
          <w:kern w:val="0"/>
          <w:szCs w:val="21"/>
        </w:rPr>
        <w:t>、</w:t>
      </w:r>
      <w:r>
        <w:rPr>
          <w:rFonts w:ascii="宋体" w:hAnsi="宋体" w:eastAsia="宋体"/>
          <w:kern w:val="0"/>
          <w:szCs w:val="21"/>
        </w:rPr>
        <w:t>DB43/T 2607 草山草坡育肥牛饲养管理技术规程</w:t>
      </w:r>
      <w:r>
        <w:rPr>
          <w:rFonts w:hint="eastAsia" w:ascii="宋体" w:hAnsi="宋体" w:eastAsia="宋体"/>
          <w:kern w:val="0"/>
          <w:szCs w:val="21"/>
        </w:rPr>
        <w:t>、</w:t>
      </w:r>
      <w:r>
        <w:rPr>
          <w:rFonts w:ascii="宋体" w:hAnsi="宋体" w:eastAsia="宋体"/>
          <w:kern w:val="0"/>
          <w:szCs w:val="21"/>
        </w:rPr>
        <w:t>DB34/T 127.6 黄牛生产技术规程 育肥牛饲养管理技术</w:t>
      </w:r>
      <w:r>
        <w:rPr>
          <w:rFonts w:hint="eastAsia" w:ascii="宋体" w:hAnsi="宋体" w:eastAsia="宋体"/>
          <w:kern w:val="0"/>
          <w:szCs w:val="21"/>
        </w:rPr>
        <w:t>、</w:t>
      </w:r>
      <w:r>
        <w:rPr>
          <w:rFonts w:ascii="宋体" w:hAnsi="宋体" w:eastAsia="宋体"/>
          <w:kern w:val="0"/>
          <w:szCs w:val="21"/>
        </w:rPr>
        <w:t>DB50/T 740 育肥牛饲养管理技术规范</w:t>
      </w:r>
      <w:r>
        <w:rPr>
          <w:rFonts w:hint="eastAsia" w:ascii="宋体" w:hAnsi="宋体" w:eastAsia="宋体"/>
          <w:kern w:val="0"/>
          <w:szCs w:val="21"/>
        </w:rPr>
        <w:t>。</w:t>
      </w:r>
      <w:r>
        <w:rPr>
          <w:rFonts w:hint="eastAsia" w:ascii="宋体" w:hAnsi="Times New Roman" w:eastAsia="宋体" w:cs="Times New Roman"/>
          <w:kern w:val="0"/>
          <w:szCs w:val="20"/>
        </w:rPr>
        <w:t>规定了育肥牛饲养技术等，本标准</w:t>
      </w:r>
      <w:r>
        <w:rPr>
          <w:rFonts w:hint="eastAsia" w:ascii="宋体" w:hAnsi="宋体" w:eastAsia="宋体"/>
          <w:kern w:val="0"/>
          <w:szCs w:val="21"/>
        </w:rPr>
        <w:t>重点关注 肉牛的育肥品种，达到相应标准的进行育肥，与上述标准内容侧重点不同</w:t>
      </w:r>
      <w:r>
        <w:rPr>
          <w:rFonts w:hint="eastAsia" w:ascii="宋体" w:hAnsi="Times New Roman" w:eastAsia="宋体" w:cs="Times New Roman"/>
          <w:kern w:val="0"/>
          <w:szCs w:val="20"/>
        </w:rPr>
        <w:t>，</w:t>
      </w:r>
      <w:r>
        <w:rPr>
          <w:rFonts w:hint="eastAsia" w:ascii="宋体" w:hAnsi="宋体" w:eastAsia="宋体"/>
          <w:kern w:val="0"/>
          <w:szCs w:val="21"/>
        </w:rPr>
        <w:t>且长春市气候、自然条件等因素具有较大差别，因此亟需制定符合长春市肉牛产业发展实际的肉牛育肥质量控制地方标准。本标准在制定过程中，充分考虑了育肥牛实际情况及市场需求，标准的技术指标合理、先进，填补了育肥牛质量控制标准国内的空白。</w:t>
      </w:r>
    </w:p>
    <w:p>
      <w:pPr>
        <w:widowControl/>
        <w:numPr>
          <w:ilvl w:val="0"/>
          <w:numId w:val="6"/>
        </w:numPr>
        <w:spacing w:line="360" w:lineRule="auto"/>
        <w:ind w:firstLine="420" w:firstLineChars="200"/>
        <w:rPr>
          <w:rFonts w:ascii="黑体" w:hAnsi="黑体" w:eastAsia="黑体" w:cs="黑体"/>
          <w:kern w:val="0"/>
          <w:szCs w:val="21"/>
        </w:rPr>
      </w:pPr>
      <w:r>
        <w:rPr>
          <w:rFonts w:hint="eastAsia" w:ascii="黑体" w:hAnsi="黑体" w:eastAsia="黑体" w:cs="黑体"/>
          <w:kern w:val="0"/>
          <w:szCs w:val="21"/>
        </w:rPr>
        <w:t>贯彻标准的措施建议</w:t>
      </w:r>
    </w:p>
    <w:p>
      <w:pPr>
        <w:widowControl/>
        <w:numPr>
          <w:ilvl w:val="0"/>
          <w:numId w:val="7"/>
        </w:numPr>
        <w:spacing w:line="360" w:lineRule="auto"/>
        <w:ind w:firstLine="420" w:firstLineChars="200"/>
        <w:rPr>
          <w:rFonts w:ascii="宋体" w:hAnsi="宋体" w:eastAsia="宋体"/>
          <w:color w:val="000000"/>
          <w:kern w:val="0"/>
          <w:szCs w:val="21"/>
        </w:rPr>
      </w:pPr>
      <w:r>
        <w:rPr>
          <w:rFonts w:hint="eastAsia" w:ascii="宋体" w:hAnsi="宋体" w:eastAsia="宋体"/>
          <w:color w:val="000000"/>
          <w:kern w:val="0"/>
          <w:szCs w:val="21"/>
        </w:rPr>
        <w:t>技术措施</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要求育肥牛引进相关养殖场户或技术人员熟练掌握育肥牛的引进质量控制技术，熟悉相关术语。严格按照本规范的育肥牛质量控制技术要求进行肉牛育肥，进行标准化饲养。</w:t>
      </w:r>
    </w:p>
    <w:p>
      <w:pPr>
        <w:widowControl/>
        <w:spacing w:line="360" w:lineRule="auto"/>
        <w:ind w:firstLine="420" w:firstLineChars="200"/>
        <w:rPr>
          <w:rFonts w:ascii="宋体" w:hAnsi="宋体" w:eastAsia="宋体"/>
          <w:color w:val="000000"/>
          <w:kern w:val="0"/>
          <w:szCs w:val="21"/>
        </w:rPr>
      </w:pPr>
      <w:r>
        <w:rPr>
          <w:rFonts w:hint="eastAsia" w:ascii="宋体" w:hAnsi="宋体" w:eastAsia="宋体"/>
          <w:color w:val="000000"/>
          <w:kern w:val="0"/>
          <w:szCs w:val="21"/>
        </w:rPr>
        <w:t>（二）管理措施</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在引进过程中严格遵循规范，提高品种资源保护意识，确保肉牛标准化育肥，且注意疫病防控，杜绝疫病发生。</w:t>
      </w:r>
    </w:p>
    <w:p>
      <w:pPr>
        <w:widowControl/>
        <w:spacing w:line="360" w:lineRule="auto"/>
        <w:ind w:left="420" w:leftChars="200"/>
        <w:rPr>
          <w:rFonts w:ascii="宋体" w:hAnsi="宋体" w:eastAsia="宋体"/>
          <w:color w:val="000000"/>
          <w:kern w:val="0"/>
          <w:szCs w:val="21"/>
        </w:rPr>
      </w:pPr>
      <w:r>
        <w:rPr>
          <w:rFonts w:hint="eastAsia" w:ascii="宋体" w:hAnsi="宋体" w:eastAsia="宋体"/>
          <w:color w:val="000000"/>
          <w:kern w:val="0"/>
          <w:szCs w:val="21"/>
        </w:rPr>
        <w:t>（三）实施方案</w:t>
      </w:r>
    </w:p>
    <w:p>
      <w:pPr>
        <w:widowControl/>
        <w:spacing w:line="360" w:lineRule="auto"/>
        <w:ind w:firstLine="420" w:firstLineChars="200"/>
        <w:rPr>
          <w:rFonts w:ascii="宋体" w:hAnsi="宋体" w:eastAsia="宋体"/>
          <w:color w:val="000000"/>
          <w:kern w:val="0"/>
          <w:szCs w:val="21"/>
        </w:rPr>
      </w:pPr>
      <w:r>
        <w:rPr>
          <w:rFonts w:hint="eastAsia" w:ascii="宋体" w:hAnsi="宋体" w:eastAsia="宋体"/>
          <w:color w:val="000000"/>
          <w:kern w:val="0"/>
          <w:szCs w:val="21"/>
        </w:rPr>
        <w:t xml:space="preserve"> </w:t>
      </w:r>
      <w:r>
        <w:rPr>
          <w:rFonts w:hint="eastAsia" w:ascii="宋体" w:hAnsi="宋体" w:eastAsia="宋体"/>
          <w:kern w:val="0"/>
          <w:szCs w:val="21"/>
        </w:rPr>
        <w:t>本标准自发布之日起，各育肥牛单位严格按照本规范规定的技术要求进行各品种育肥工作，确保牛肉质量达标。</w:t>
      </w:r>
    </w:p>
    <w:p>
      <w:pPr>
        <w:widowControl/>
        <w:numPr>
          <w:ilvl w:val="0"/>
          <w:numId w:val="6"/>
        </w:numPr>
        <w:spacing w:line="360" w:lineRule="auto"/>
        <w:ind w:firstLine="420" w:firstLineChars="200"/>
        <w:rPr>
          <w:rFonts w:ascii="黑体" w:hAnsi="黑体" w:eastAsia="黑体" w:cs="黑体"/>
          <w:kern w:val="0"/>
          <w:szCs w:val="21"/>
        </w:rPr>
      </w:pPr>
      <w:r>
        <w:rPr>
          <w:rFonts w:hint="eastAsia" w:ascii="黑体" w:hAnsi="黑体" w:eastAsia="黑体" w:cs="黑体"/>
          <w:kern w:val="0"/>
          <w:szCs w:val="21"/>
        </w:rPr>
        <w:t>预期效益分析</w:t>
      </w:r>
    </w:p>
    <w:p>
      <w:pPr>
        <w:widowControl/>
        <w:numPr>
          <w:ilvl w:val="0"/>
          <w:numId w:val="8"/>
        </w:numPr>
        <w:spacing w:line="360" w:lineRule="auto"/>
        <w:ind w:left="420" w:leftChars="200"/>
        <w:rPr>
          <w:rFonts w:ascii="宋体" w:hAnsi="宋体" w:eastAsia="宋体"/>
          <w:color w:val="000000"/>
          <w:kern w:val="0"/>
          <w:szCs w:val="21"/>
        </w:rPr>
      </w:pPr>
      <w:r>
        <w:rPr>
          <w:rFonts w:hint="eastAsia" w:ascii="宋体" w:hAnsi="宋体" w:eastAsia="宋体"/>
          <w:color w:val="000000"/>
          <w:kern w:val="0"/>
          <w:szCs w:val="21"/>
        </w:rPr>
        <w:t>经济效益</w:t>
      </w:r>
    </w:p>
    <w:p>
      <w:pPr>
        <w:widowControl/>
        <w:spacing w:line="360" w:lineRule="auto"/>
        <w:ind w:firstLine="420" w:firstLineChars="200"/>
        <w:rPr>
          <w:rFonts w:ascii="宋体" w:hAnsi="宋体" w:eastAsia="宋体"/>
          <w:color w:val="000000"/>
          <w:kern w:val="0"/>
          <w:szCs w:val="21"/>
        </w:rPr>
      </w:pPr>
      <w:r>
        <w:rPr>
          <w:rFonts w:hint="eastAsia" w:ascii="宋体" w:hAnsi="宋体" w:eastAsia="宋体"/>
          <w:kern w:val="0"/>
          <w:szCs w:val="21"/>
        </w:rPr>
        <w:t>本标准的制定是</w:t>
      </w:r>
      <w:r>
        <w:rPr>
          <w:rFonts w:hint="eastAsia" w:ascii="宋体" w:hAnsi="宋体" w:eastAsia="宋体"/>
          <w:szCs w:val="21"/>
        </w:rPr>
        <w:t>以“做大总量、提高质量”为核心大</w:t>
      </w:r>
      <w:r>
        <w:rPr>
          <w:rFonts w:hint="eastAsia" w:ascii="宋体" w:hAnsi="宋体" w:eastAsia="宋体"/>
          <w:color w:val="000000"/>
          <w:kern w:val="0"/>
          <w:szCs w:val="21"/>
        </w:rPr>
        <w:t>力促进</w:t>
      </w:r>
      <w:r>
        <w:rPr>
          <w:rFonts w:hint="eastAsia" w:ascii="宋体" w:hAnsi="宋体" w:eastAsia="宋体"/>
          <w:kern w:val="0"/>
          <w:szCs w:val="21"/>
        </w:rPr>
        <w:t>育肥牛</w:t>
      </w:r>
      <w:r>
        <w:rPr>
          <w:rFonts w:hint="eastAsia" w:ascii="宋体" w:hAnsi="宋体" w:eastAsia="宋体"/>
          <w:color w:val="000000"/>
          <w:kern w:val="0"/>
          <w:szCs w:val="21"/>
        </w:rPr>
        <w:t>发展，有效</w:t>
      </w:r>
      <w:r>
        <w:rPr>
          <w:rFonts w:hint="eastAsia" w:ascii="宋体" w:hAnsi="宋体" w:eastAsia="宋体"/>
          <w:kern w:val="0"/>
          <w:szCs w:val="21"/>
        </w:rPr>
        <w:t>提高育肥牛质量，推动优质肉牛增量</w:t>
      </w:r>
      <w:r>
        <w:rPr>
          <w:rFonts w:hint="eastAsia" w:ascii="宋体" w:hAnsi="宋体" w:eastAsia="宋体"/>
          <w:kern w:val="0"/>
          <w:szCs w:val="20"/>
        </w:rPr>
        <w:t>。并且，有效</w:t>
      </w:r>
      <w:r>
        <w:rPr>
          <w:rFonts w:hint="eastAsia" w:ascii="宋体" w:hAnsi="宋体" w:eastAsia="宋体"/>
          <w:kern w:val="0"/>
          <w:szCs w:val="21"/>
        </w:rPr>
        <w:t>减少疫病发生和蔓延，提高肉牛养殖场（户）经济效益。</w:t>
      </w:r>
    </w:p>
    <w:p>
      <w:pPr>
        <w:widowControl/>
        <w:numPr>
          <w:ilvl w:val="0"/>
          <w:numId w:val="8"/>
        </w:numPr>
        <w:spacing w:line="360" w:lineRule="auto"/>
        <w:ind w:left="420" w:leftChars="200"/>
        <w:rPr>
          <w:rFonts w:ascii="宋体" w:hAnsi="宋体" w:eastAsia="宋体"/>
          <w:color w:val="000000"/>
          <w:kern w:val="0"/>
          <w:szCs w:val="21"/>
        </w:rPr>
      </w:pPr>
      <w:r>
        <w:rPr>
          <w:rFonts w:hint="eastAsia" w:ascii="宋体" w:hAnsi="宋体" w:eastAsia="宋体"/>
          <w:color w:val="000000"/>
          <w:kern w:val="0"/>
          <w:szCs w:val="21"/>
        </w:rPr>
        <w:t>社会效益</w:t>
      </w:r>
    </w:p>
    <w:p>
      <w:pPr>
        <w:widowControl/>
        <w:spacing w:line="360" w:lineRule="auto"/>
        <w:ind w:firstLine="420" w:firstLineChars="200"/>
        <w:rPr>
          <w:rFonts w:ascii="宋体" w:hAnsi="宋体" w:eastAsia="宋体"/>
          <w:color w:val="000000"/>
          <w:kern w:val="0"/>
          <w:szCs w:val="21"/>
        </w:rPr>
      </w:pPr>
      <w:r>
        <w:rPr>
          <w:rFonts w:hint="eastAsia" w:ascii="宋体" w:hAnsi="宋体" w:eastAsia="宋体"/>
          <w:color w:val="000000"/>
          <w:kern w:val="0"/>
          <w:szCs w:val="21"/>
        </w:rPr>
        <w:t>本标准的应用和推广，一是推进我市“秸秆变肉”暨三百万头肉牛建设工程顺利实施；二是能够促进我市</w:t>
      </w:r>
      <w:r>
        <w:rPr>
          <w:rFonts w:hint="eastAsia" w:ascii="宋体" w:hAnsi="宋体" w:eastAsia="宋体"/>
          <w:kern w:val="0"/>
          <w:szCs w:val="21"/>
        </w:rPr>
        <w:t>育肥牛</w:t>
      </w:r>
      <w:r>
        <w:rPr>
          <w:rFonts w:hint="eastAsia" w:ascii="宋体" w:hAnsi="宋体" w:eastAsia="宋体"/>
          <w:color w:val="000000"/>
          <w:kern w:val="0"/>
          <w:szCs w:val="21"/>
        </w:rPr>
        <w:t xml:space="preserve">标准化，提高牛肉质量，使市场规范化；三是能够全面提升我市肉牛产业的核心竞争力。 </w:t>
      </w:r>
    </w:p>
    <w:p>
      <w:pPr>
        <w:widowControl/>
        <w:numPr>
          <w:ilvl w:val="0"/>
          <w:numId w:val="8"/>
        </w:numPr>
        <w:spacing w:line="360" w:lineRule="auto"/>
        <w:ind w:left="420" w:leftChars="200"/>
        <w:rPr>
          <w:rFonts w:ascii="宋体" w:hAnsi="宋体" w:eastAsia="宋体"/>
          <w:color w:val="000000"/>
          <w:kern w:val="0"/>
          <w:szCs w:val="21"/>
        </w:rPr>
      </w:pPr>
      <w:r>
        <w:rPr>
          <w:rFonts w:hint="eastAsia" w:ascii="宋体" w:hAnsi="宋体" w:eastAsia="宋体"/>
          <w:color w:val="000000"/>
          <w:kern w:val="0"/>
          <w:szCs w:val="21"/>
        </w:rPr>
        <w:t>生态效益</w:t>
      </w:r>
    </w:p>
    <w:p>
      <w:pPr>
        <w:widowControl/>
        <w:spacing w:line="360" w:lineRule="auto"/>
        <w:ind w:firstLine="420" w:firstLineChars="200"/>
        <w:rPr>
          <w:rFonts w:ascii="宋体" w:hAnsi="宋体" w:eastAsia="宋体"/>
          <w:kern w:val="0"/>
          <w:szCs w:val="21"/>
        </w:rPr>
      </w:pPr>
      <w:r>
        <w:rPr>
          <w:rFonts w:hint="eastAsia" w:ascii="宋体" w:hAnsi="宋体"/>
          <w:kern w:val="0"/>
        </w:rPr>
        <w:t xml:space="preserve"> </w:t>
      </w:r>
      <w:r>
        <w:rPr>
          <w:rFonts w:hint="eastAsia" w:ascii="宋体" w:hAnsi="宋体" w:eastAsia="宋体"/>
          <w:color w:val="000000"/>
          <w:kern w:val="0"/>
          <w:szCs w:val="21"/>
        </w:rPr>
        <w:t>引进健康的</w:t>
      </w:r>
      <w:r>
        <w:rPr>
          <w:rFonts w:hint="eastAsia" w:ascii="宋体" w:hAnsi="宋体" w:eastAsia="宋体"/>
          <w:kern w:val="0"/>
          <w:szCs w:val="21"/>
        </w:rPr>
        <w:t>育肥牛</w:t>
      </w:r>
      <w:r>
        <w:rPr>
          <w:rFonts w:hint="eastAsia" w:ascii="宋体" w:hAnsi="宋体" w:eastAsia="宋体"/>
          <w:color w:val="000000"/>
          <w:kern w:val="0"/>
          <w:szCs w:val="21"/>
        </w:rPr>
        <w:t>可</w:t>
      </w:r>
      <w:r>
        <w:rPr>
          <w:rFonts w:hint="eastAsia" w:ascii="宋体" w:hAnsi="宋体" w:eastAsia="宋体"/>
          <w:kern w:val="0"/>
          <w:szCs w:val="21"/>
        </w:rPr>
        <w:t>降低疫病的发生，减少病死牛，降低环境污染，促进肉牛产业可持续、高质量发展。</w:t>
      </w:r>
    </w:p>
    <w:p>
      <w:pPr>
        <w:widowControl/>
        <w:spacing w:line="360" w:lineRule="auto"/>
        <w:ind w:firstLine="420" w:firstLineChars="200"/>
        <w:rPr>
          <w:rFonts w:ascii="黑体" w:hAnsi="黑体" w:eastAsia="黑体" w:cs="黑体"/>
          <w:kern w:val="0"/>
          <w:szCs w:val="21"/>
        </w:rPr>
      </w:pPr>
      <w:r>
        <w:rPr>
          <w:rFonts w:hint="eastAsia" w:ascii="黑体" w:hAnsi="黑体" w:eastAsia="黑体" w:cs="黑体"/>
          <w:kern w:val="0"/>
          <w:szCs w:val="21"/>
        </w:rPr>
        <w:t>十、参考文献及其他需要说明的事项</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（一）参考文献</w:t>
      </w:r>
    </w:p>
    <w:p>
      <w:pPr>
        <w:widowControl/>
        <w:spacing w:line="360" w:lineRule="auto"/>
        <w:ind w:firstLine="420" w:firstLineChars="200"/>
        <w:rPr>
          <w:rFonts w:ascii="宋体" w:hAnsi="宋体" w:eastAsia="宋体"/>
          <w:kern w:val="0"/>
          <w:szCs w:val="21"/>
        </w:rPr>
      </w:pPr>
      <w:r>
        <w:rPr>
          <w:rFonts w:ascii="宋体" w:hAnsi="宋体" w:eastAsia="宋体"/>
          <w:kern w:val="0"/>
          <w:szCs w:val="21"/>
        </w:rPr>
        <w:t>GB 13078  饲料卫生标准</w:t>
      </w:r>
    </w:p>
    <w:p>
      <w:pPr>
        <w:widowControl/>
        <w:spacing w:line="360" w:lineRule="auto"/>
        <w:ind w:firstLine="420" w:firstLineChars="200"/>
        <w:rPr>
          <w:rFonts w:ascii="宋体" w:hAnsi="宋体" w:eastAsia="宋体"/>
          <w:kern w:val="0"/>
          <w:szCs w:val="21"/>
        </w:rPr>
      </w:pPr>
      <w:r>
        <w:rPr>
          <w:rFonts w:ascii="宋体" w:hAnsi="宋体" w:eastAsia="宋体"/>
          <w:kern w:val="0"/>
          <w:szCs w:val="21"/>
        </w:rPr>
        <w:t>GB/T 14699  饲料 采样</w:t>
      </w:r>
    </w:p>
    <w:p>
      <w:pPr>
        <w:widowControl/>
        <w:spacing w:line="360" w:lineRule="auto"/>
        <w:ind w:firstLine="420" w:firstLineChars="200"/>
        <w:rPr>
          <w:rFonts w:ascii="宋体" w:hAnsi="宋体" w:eastAsia="宋体"/>
          <w:kern w:val="0"/>
          <w:szCs w:val="21"/>
        </w:rPr>
      </w:pPr>
      <w:r>
        <w:rPr>
          <w:rFonts w:ascii="宋体" w:hAnsi="宋体" w:eastAsia="宋体"/>
          <w:kern w:val="0"/>
          <w:szCs w:val="21"/>
        </w:rPr>
        <w:t>GB 19301  食品安全国家标准 生乳</w:t>
      </w:r>
    </w:p>
    <w:p>
      <w:pPr>
        <w:widowControl/>
        <w:spacing w:line="360" w:lineRule="auto"/>
        <w:ind w:firstLine="420" w:firstLineChars="200"/>
        <w:rPr>
          <w:rFonts w:ascii="宋体" w:hAnsi="宋体" w:eastAsia="宋体"/>
          <w:kern w:val="0"/>
          <w:szCs w:val="21"/>
        </w:rPr>
      </w:pPr>
      <w:r>
        <w:rPr>
          <w:rFonts w:ascii="宋体" w:hAnsi="宋体" w:eastAsia="宋体"/>
          <w:kern w:val="0"/>
          <w:szCs w:val="21"/>
        </w:rPr>
        <w:t>GB/T 36195  畜禽粪便无害化处理技术规范</w:t>
      </w:r>
    </w:p>
    <w:p>
      <w:pPr>
        <w:widowControl/>
        <w:spacing w:line="360" w:lineRule="auto"/>
        <w:ind w:firstLine="420" w:firstLineChars="200"/>
        <w:rPr>
          <w:rFonts w:ascii="宋体" w:hAnsi="宋体" w:eastAsia="宋体"/>
          <w:kern w:val="0"/>
          <w:szCs w:val="21"/>
        </w:rPr>
      </w:pPr>
      <w:r>
        <w:rPr>
          <w:rFonts w:ascii="宋体" w:hAnsi="宋体" w:eastAsia="宋体"/>
          <w:kern w:val="0"/>
          <w:szCs w:val="21"/>
        </w:rPr>
        <w:t>NY/T 388  畜禽场环境质量标准</w:t>
      </w:r>
    </w:p>
    <w:p>
      <w:pPr>
        <w:widowControl/>
        <w:spacing w:line="360" w:lineRule="auto"/>
        <w:ind w:firstLine="420" w:firstLineChars="200"/>
        <w:rPr>
          <w:rFonts w:ascii="宋体" w:hAnsi="宋体" w:eastAsia="宋体"/>
          <w:kern w:val="0"/>
          <w:szCs w:val="21"/>
        </w:rPr>
      </w:pPr>
      <w:r>
        <w:rPr>
          <w:rFonts w:ascii="宋体" w:hAnsi="宋体" w:eastAsia="宋体"/>
          <w:kern w:val="0"/>
          <w:szCs w:val="21"/>
        </w:rPr>
        <w:t>NY/T 472  绿色食品 兽药使用准则</w:t>
      </w:r>
    </w:p>
    <w:p>
      <w:pPr>
        <w:widowControl/>
        <w:spacing w:line="360" w:lineRule="auto"/>
        <w:ind w:firstLine="420" w:firstLineChars="200"/>
        <w:rPr>
          <w:rFonts w:ascii="宋体" w:hAnsi="宋体" w:eastAsia="宋体"/>
          <w:kern w:val="0"/>
          <w:szCs w:val="21"/>
        </w:rPr>
      </w:pPr>
      <w:r>
        <w:rPr>
          <w:rFonts w:ascii="宋体" w:hAnsi="宋体" w:eastAsia="宋体"/>
          <w:kern w:val="0"/>
          <w:szCs w:val="21"/>
        </w:rPr>
        <w:t>NY/T 815  肉牛饲养标准</w:t>
      </w:r>
    </w:p>
    <w:p>
      <w:pPr>
        <w:widowControl/>
        <w:spacing w:line="360" w:lineRule="auto"/>
        <w:ind w:firstLine="420" w:firstLineChars="200"/>
        <w:rPr>
          <w:rFonts w:ascii="宋体" w:hAnsi="宋体" w:eastAsia="宋体"/>
          <w:kern w:val="0"/>
          <w:szCs w:val="21"/>
        </w:rPr>
      </w:pPr>
      <w:r>
        <w:rPr>
          <w:rFonts w:ascii="宋体" w:hAnsi="宋体" w:eastAsia="宋体"/>
          <w:kern w:val="0"/>
          <w:szCs w:val="21"/>
        </w:rPr>
        <w:t>NY 5027  无公害食品 畜禽饮用水水质</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（二）其他需要说明事项</w:t>
      </w:r>
    </w:p>
    <w:p>
      <w:pPr>
        <w:widowControl/>
        <w:spacing w:line="360" w:lineRule="auto"/>
        <w:ind w:firstLine="420" w:firstLineChars="200"/>
        <w:rPr>
          <w:rFonts w:ascii="宋体" w:hAnsi="宋体" w:eastAsia="宋体"/>
          <w:kern w:val="0"/>
          <w:szCs w:val="21"/>
        </w:rPr>
      </w:pPr>
      <w:r>
        <w:rPr>
          <w:rFonts w:hint="eastAsia" w:ascii="宋体" w:hAnsi="宋体" w:eastAsia="宋体"/>
          <w:kern w:val="0"/>
          <w:szCs w:val="21"/>
        </w:rPr>
        <w:t>无。</w:t>
      </w:r>
    </w:p>
    <w:p>
      <w:pPr>
        <w:widowControl/>
        <w:spacing w:line="360" w:lineRule="auto"/>
        <w:ind w:firstLine="420" w:firstLineChars="200"/>
        <w:rPr>
          <w:rFonts w:ascii="宋体" w:hAnsi="宋体" w:eastAsia="宋体"/>
          <w:kern w:val="0"/>
          <w:szCs w:val="21"/>
        </w:rPr>
      </w:pPr>
    </w:p>
    <w:p>
      <w:pPr>
        <w:widowControl/>
        <w:spacing w:line="360" w:lineRule="auto"/>
        <w:ind w:firstLine="420" w:firstLineChars="200"/>
        <w:rPr>
          <w:rFonts w:ascii="宋体" w:hAnsi="宋体" w:eastAsia="宋体"/>
          <w:kern w:val="0"/>
          <w:szCs w:val="21"/>
        </w:rPr>
      </w:pPr>
    </w:p>
    <w:p>
      <w:pPr>
        <w:widowControl/>
        <w:spacing w:line="360" w:lineRule="auto"/>
        <w:ind w:firstLine="420" w:firstLineChars="200"/>
        <w:rPr>
          <w:rFonts w:ascii="宋体" w:hAnsi="宋体" w:eastAsia="宋体"/>
          <w:kern w:val="0"/>
          <w:szCs w:val="21"/>
        </w:rPr>
      </w:pPr>
    </w:p>
    <w:p>
      <w:pPr>
        <w:widowControl/>
        <w:spacing w:line="360" w:lineRule="auto"/>
        <w:ind w:firstLine="420" w:firstLineChars="200"/>
        <w:jc w:val="right"/>
        <w:rPr>
          <w:rFonts w:ascii="宋体" w:hAnsi="宋体" w:eastAsia="宋体"/>
          <w:kern w:val="0"/>
          <w:szCs w:val="21"/>
        </w:rPr>
      </w:pPr>
      <w:r>
        <w:rPr>
          <w:rFonts w:ascii="宋体" w:hAnsi="宋体" w:eastAsia="宋体"/>
          <w:kern w:val="0"/>
          <w:szCs w:val="21"/>
        </w:rPr>
        <w:t>《</w:t>
      </w:r>
      <w:r>
        <w:rPr>
          <w:rFonts w:hint="eastAsia" w:ascii="宋体" w:hAnsi="宋体" w:eastAsia="宋体"/>
          <w:kern w:val="0"/>
          <w:szCs w:val="21"/>
        </w:rPr>
        <w:t>肉牛饲养技术规范 第3部分：育肥犊牛</w:t>
      </w:r>
      <w:r>
        <w:rPr>
          <w:rFonts w:ascii="宋体" w:hAnsi="宋体" w:eastAsia="宋体"/>
          <w:kern w:val="0"/>
          <w:szCs w:val="21"/>
        </w:rPr>
        <w:t>》标准起草小组</w:t>
      </w:r>
    </w:p>
    <w:p>
      <w:pPr>
        <w:widowControl/>
        <w:spacing w:line="360" w:lineRule="auto"/>
        <w:ind w:firstLine="420" w:firstLineChars="200"/>
        <w:rPr>
          <w:rFonts w:ascii="宋体" w:hAnsi="宋体" w:eastAsia="宋体"/>
          <w:kern w:val="0"/>
          <w:szCs w:val="21"/>
        </w:rPr>
      </w:pPr>
    </w:p>
    <w:p>
      <w:pPr>
        <w:widowControl/>
        <w:spacing w:line="360" w:lineRule="auto"/>
        <w:ind w:firstLine="420" w:firstLineChars="200"/>
        <w:rPr>
          <w:rFonts w:ascii="宋体" w:hAnsi="宋体" w:eastAsia="宋体"/>
          <w:kern w:val="0"/>
          <w:szCs w:val="21"/>
        </w:rPr>
      </w:pPr>
      <w:r>
        <w:rPr>
          <w:rFonts w:ascii="宋体" w:hAnsi="宋体" w:eastAsia="宋体"/>
          <w:kern w:val="0"/>
          <w:szCs w:val="21"/>
        </w:rPr>
        <w:t xml:space="preserve">                                                      2024年</w:t>
      </w:r>
      <w:r>
        <w:rPr>
          <w:rFonts w:hint="eastAsia" w:ascii="宋体" w:hAnsi="宋体" w:eastAsia="宋体"/>
          <w:kern w:val="0"/>
          <w:szCs w:val="21"/>
        </w:rPr>
        <w:t>2</w:t>
      </w:r>
      <w:r>
        <w:rPr>
          <w:rFonts w:ascii="宋体" w:hAnsi="宋体" w:eastAsia="宋体"/>
          <w:kern w:val="0"/>
          <w:szCs w:val="21"/>
        </w:rPr>
        <w:t>月</w:t>
      </w:r>
      <w:r>
        <w:rPr>
          <w:rFonts w:hint="eastAsia" w:ascii="宋体" w:hAnsi="宋体" w:eastAsia="宋体"/>
          <w:kern w:val="0"/>
          <w:szCs w:val="21"/>
        </w:rPr>
        <w:t>29</w:t>
      </w:r>
      <w:r>
        <w:rPr>
          <w:rFonts w:ascii="宋体" w:hAnsi="宋体" w:eastAsia="宋体"/>
          <w:kern w:val="0"/>
          <w:szCs w:val="21"/>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5876247"/>
    </w:sdtPr>
    <w:sdtContent>
      <w:p>
        <w:pPr>
          <w:pStyle w:val="5"/>
          <w:jc w:val="center"/>
        </w:pPr>
        <w:r>
          <w:fldChar w:fldCharType="begin"/>
        </w:r>
        <w:r>
          <w:instrText xml:space="preserve">PAGE   \* MERGEFORMAT</w:instrText>
        </w:r>
        <w:r>
          <w:fldChar w:fldCharType="separate"/>
        </w:r>
        <w:r>
          <w:rPr>
            <w:lang w:val="zh-CN"/>
          </w:rPr>
          <w:t>10</w:t>
        </w:r>
        <w:r>
          <w:fldChar w:fldCharType="end"/>
        </w:r>
      </w:p>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AD5722"/>
    <w:multiLevelType w:val="singleLevel"/>
    <w:tmpl w:val="D1AD5722"/>
    <w:lvl w:ilvl="0" w:tentative="0">
      <w:start w:val="2"/>
      <w:numFmt w:val="chineseCounting"/>
      <w:suff w:val="nothing"/>
      <w:lvlText w:val="（%1）"/>
      <w:lvlJc w:val="left"/>
      <w:rPr>
        <w:rFonts w:hint="eastAsia"/>
      </w:rPr>
    </w:lvl>
  </w:abstractNum>
  <w:abstractNum w:abstractNumId="1">
    <w:nsid w:val="D7082001"/>
    <w:multiLevelType w:val="singleLevel"/>
    <w:tmpl w:val="D7082001"/>
    <w:lvl w:ilvl="0" w:tentative="0">
      <w:start w:val="8"/>
      <w:numFmt w:val="chineseCounting"/>
      <w:suff w:val="nothing"/>
      <w:lvlText w:val="%1、"/>
      <w:lvlJc w:val="left"/>
      <w:rPr>
        <w:rFonts w:hint="eastAsia"/>
      </w:rPr>
    </w:lvl>
  </w:abstractNum>
  <w:abstractNum w:abstractNumId="2">
    <w:nsid w:val="00000001"/>
    <w:multiLevelType w:val="multilevel"/>
    <w:tmpl w:val="00000001"/>
    <w:lvl w:ilvl="0" w:tentative="0">
      <w:start w:val="1"/>
      <w:numFmt w:val="decimal"/>
      <w:pStyle w:val="2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1"/>
      <w:suff w:val="nothing"/>
      <w:lvlText w:val="%1.%2　"/>
      <w:lvlJc w:val="left"/>
      <w:pPr>
        <w:ind w:left="-1559" w:firstLine="0"/>
      </w:pPr>
      <w:rPr>
        <w:rFonts w:hint="eastAsia" w:ascii="黑体" w:hAnsi="Times New Roman" w:eastAsia="黑体" w:cs="Times New Roman"/>
        <w:b w:val="0"/>
        <w:bCs w:val="0"/>
        <w:i w:val="0"/>
        <w:iCs w:val="0"/>
        <w:caps w:val="0"/>
        <w:vanish w:val="0"/>
        <w:color w:val="000000"/>
        <w:spacing w:val="0"/>
        <w:kern w:val="0"/>
        <w:position w:val="0"/>
        <w:sz w:val="21"/>
        <w:szCs w:val="21"/>
        <w:u w:val="none"/>
        <w:vertAlign w:val="baseline"/>
      </w:rPr>
    </w:lvl>
    <w:lvl w:ilvl="2" w:tentative="0">
      <w:start w:val="1"/>
      <w:numFmt w:val="decimal"/>
      <w:suff w:val="nothing"/>
      <w:lvlText w:val="%1.%2.%3　"/>
      <w:lvlJc w:val="left"/>
      <w:pPr>
        <w:ind w:left="-1559" w:firstLine="0"/>
      </w:pPr>
      <w:rPr>
        <w:rFonts w:hint="eastAsia" w:ascii="黑体" w:hAnsi="Times New Roman" w:eastAsia="黑体"/>
        <w:b w:val="0"/>
        <w:i w:val="0"/>
        <w:sz w:val="21"/>
      </w:rPr>
    </w:lvl>
    <w:lvl w:ilvl="3" w:tentative="0">
      <w:start w:val="1"/>
      <w:numFmt w:val="decimal"/>
      <w:suff w:val="nothing"/>
      <w:lvlText w:val="%1.%2.%3.%4　"/>
      <w:lvlJc w:val="left"/>
      <w:pPr>
        <w:ind w:left="-1559" w:firstLine="0"/>
      </w:pPr>
      <w:rPr>
        <w:rFonts w:hint="eastAsia" w:ascii="黑体" w:hAnsi="Times New Roman" w:eastAsia="黑体"/>
        <w:b w:val="0"/>
        <w:i w:val="0"/>
        <w:sz w:val="21"/>
      </w:rPr>
    </w:lvl>
    <w:lvl w:ilvl="4" w:tentative="0">
      <w:start w:val="1"/>
      <w:numFmt w:val="decimal"/>
      <w:suff w:val="nothing"/>
      <w:lvlText w:val="%1.%2.%3.%4.%5　"/>
      <w:lvlJc w:val="left"/>
      <w:pPr>
        <w:ind w:left="-1559" w:firstLine="0"/>
      </w:pPr>
      <w:rPr>
        <w:rFonts w:hint="eastAsia" w:ascii="黑体" w:hAnsi="Times New Roman" w:eastAsia="黑体"/>
        <w:b w:val="0"/>
        <w:i w:val="0"/>
        <w:sz w:val="21"/>
      </w:rPr>
    </w:lvl>
    <w:lvl w:ilvl="5" w:tentative="0">
      <w:start w:val="1"/>
      <w:numFmt w:val="decimal"/>
      <w:suff w:val="nothing"/>
      <w:lvlText w:val="%1.%2.%3.%4.%5.%6　"/>
      <w:lvlJc w:val="left"/>
      <w:pPr>
        <w:ind w:left="-1559" w:firstLine="0"/>
      </w:pPr>
      <w:rPr>
        <w:rFonts w:hint="eastAsia" w:ascii="黑体" w:hAnsi="Times New Roman" w:eastAsia="黑体"/>
        <w:b w:val="0"/>
        <w:i w:val="0"/>
        <w:sz w:val="21"/>
      </w:rPr>
    </w:lvl>
    <w:lvl w:ilvl="6" w:tentative="0">
      <w:start w:val="1"/>
      <w:numFmt w:val="decimal"/>
      <w:suff w:val="nothing"/>
      <w:lvlText w:val="%1%2.%3.%4.%5.%6.%7　"/>
      <w:lvlJc w:val="left"/>
      <w:pPr>
        <w:ind w:left="-1559" w:firstLine="0"/>
      </w:pPr>
      <w:rPr>
        <w:rFonts w:hint="eastAsia" w:ascii="黑体" w:hAnsi="Times New Roman" w:eastAsia="黑体"/>
        <w:b w:val="0"/>
        <w:i w:val="0"/>
        <w:sz w:val="21"/>
      </w:rPr>
    </w:lvl>
    <w:lvl w:ilvl="7" w:tentative="0">
      <w:start w:val="1"/>
      <w:numFmt w:val="decimal"/>
      <w:lvlText w:val="%1.%2.%3.%4.%5.%6.%7.%8"/>
      <w:lvlJc w:val="left"/>
      <w:pPr>
        <w:tabs>
          <w:tab w:val="left" w:pos="2792"/>
        </w:tabs>
        <w:ind w:left="2410" w:hanging="1418"/>
      </w:pPr>
      <w:rPr>
        <w:rFonts w:hint="eastAsia"/>
      </w:rPr>
    </w:lvl>
    <w:lvl w:ilvl="8" w:tentative="0">
      <w:start w:val="1"/>
      <w:numFmt w:val="decimal"/>
      <w:lvlText w:val="%1.%2.%3.%4.%5.%6.%7.%8.%9"/>
      <w:lvlJc w:val="left"/>
      <w:pPr>
        <w:tabs>
          <w:tab w:val="left" w:pos="3218"/>
        </w:tabs>
        <w:ind w:left="3118" w:hanging="1700"/>
      </w:pPr>
      <w:rPr>
        <w:rFonts w:hint="eastAsia"/>
      </w:rPr>
    </w:lvl>
  </w:abstractNum>
  <w:abstractNum w:abstractNumId="3">
    <w:nsid w:val="0047F9E0"/>
    <w:multiLevelType w:val="singleLevel"/>
    <w:tmpl w:val="0047F9E0"/>
    <w:lvl w:ilvl="0" w:tentative="0">
      <w:start w:val="1"/>
      <w:numFmt w:val="chineseCounting"/>
      <w:suff w:val="nothing"/>
      <w:lvlText w:val="（%1）"/>
      <w:lvlJc w:val="left"/>
      <w:rPr>
        <w:rFonts w:hint="eastAsia"/>
      </w:rPr>
    </w:lvl>
  </w:abstractNum>
  <w:abstractNum w:abstractNumId="4">
    <w:nsid w:val="092AEF24"/>
    <w:multiLevelType w:val="singleLevel"/>
    <w:tmpl w:val="092AEF24"/>
    <w:lvl w:ilvl="0" w:tentative="0">
      <w:start w:val="1"/>
      <w:numFmt w:val="chineseCounting"/>
      <w:suff w:val="nothing"/>
      <w:lvlText w:val="（%1）"/>
      <w:lvlJc w:val="left"/>
      <w:rPr>
        <w:rFonts w:hint="eastAsia"/>
      </w:rPr>
    </w:lvl>
  </w:abstractNum>
  <w:abstractNum w:abstractNumId="5">
    <w:nsid w:val="0A2BFB0E"/>
    <w:multiLevelType w:val="singleLevel"/>
    <w:tmpl w:val="0A2BFB0E"/>
    <w:lvl w:ilvl="0" w:tentative="0">
      <w:start w:val="4"/>
      <w:numFmt w:val="decimal"/>
      <w:suff w:val="nothing"/>
      <w:lvlText w:val="%1、"/>
      <w:lvlJc w:val="left"/>
    </w:lvl>
  </w:abstractNum>
  <w:abstractNum w:abstractNumId="6">
    <w:nsid w:val="5B226AF4"/>
    <w:multiLevelType w:val="singleLevel"/>
    <w:tmpl w:val="5B226AF4"/>
    <w:lvl w:ilvl="0" w:tentative="0">
      <w:start w:val="2"/>
      <w:numFmt w:val="chineseCounting"/>
      <w:suff w:val="nothing"/>
      <w:lvlText w:val="%1、"/>
      <w:lvlJc w:val="left"/>
      <w:rPr>
        <w:rFonts w:hint="eastAsia"/>
      </w:rPr>
    </w:lvl>
  </w:abstractNum>
  <w:abstractNum w:abstractNumId="7">
    <w:nsid w:val="6CEA2025"/>
    <w:multiLevelType w:val="multilevel"/>
    <w:tmpl w:val="6CEA2025"/>
    <w:lvl w:ilvl="0" w:tentative="0">
      <w:start w:val="1"/>
      <w:numFmt w:val="none"/>
      <w:pStyle w:val="43"/>
      <w:suff w:val="nothing"/>
      <w:lvlText w:val="%1"/>
      <w:lvlJc w:val="left"/>
      <w:pPr>
        <w:ind w:left="0" w:firstLine="0"/>
      </w:pPr>
      <w:rPr>
        <w:rFonts w:hint="eastAsia"/>
      </w:rPr>
    </w:lvl>
    <w:lvl w:ilvl="1" w:tentative="0">
      <w:start w:val="1"/>
      <w:numFmt w:val="decimal"/>
      <w:pStyle w:val="41"/>
      <w:suff w:val="nothing"/>
      <w:lvlText w:val="%1%2　"/>
      <w:lvlJc w:val="left"/>
      <w:pPr>
        <w:ind w:left="0" w:firstLine="0"/>
      </w:pPr>
      <w:rPr>
        <w:rFonts w:hint="eastAsia" w:ascii="黑体" w:hAnsi="黑体" w:eastAsia="黑体"/>
        <w:b w:val="0"/>
        <w:i w:val="0"/>
        <w:sz w:val="21"/>
      </w:rPr>
    </w:lvl>
    <w:lvl w:ilvl="2" w:tentative="0">
      <w:start w:val="1"/>
      <w:numFmt w:val="decimal"/>
      <w:pStyle w:val="42"/>
      <w:suff w:val="nothing"/>
      <w:lvlText w:val="%1%2.%3　"/>
      <w:lvlJc w:val="left"/>
      <w:pPr>
        <w:ind w:left="142"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pStyle w:val="37"/>
      <w:suff w:val="nothing"/>
      <w:lvlText w:val="%1%2.%3.%4　"/>
      <w:lvlJc w:val="left"/>
      <w:pPr>
        <w:ind w:left="0" w:firstLine="0"/>
      </w:pPr>
      <w:rPr>
        <w:rFonts w:hint="eastAsia" w:ascii="黑体" w:hAnsi="黑体" w:eastAsia="黑体"/>
        <w:b w:val="0"/>
        <w:i w:val="0"/>
        <w:sz w:val="21"/>
      </w:rPr>
    </w:lvl>
    <w:lvl w:ilvl="4" w:tentative="0">
      <w:start w:val="1"/>
      <w:numFmt w:val="decimal"/>
      <w:pStyle w:val="38"/>
      <w:suff w:val="nothing"/>
      <w:lvlText w:val="%1%2.%3.%4.%5　"/>
      <w:lvlJc w:val="left"/>
      <w:pPr>
        <w:ind w:left="0" w:firstLine="0"/>
      </w:pPr>
      <w:rPr>
        <w:rFonts w:hint="eastAsia" w:ascii="黑体" w:hAnsi="黑体" w:eastAsia="黑体"/>
        <w:b w:val="0"/>
        <w:i w:val="0"/>
        <w:sz w:val="21"/>
      </w:rPr>
    </w:lvl>
    <w:lvl w:ilvl="5" w:tentative="0">
      <w:start w:val="1"/>
      <w:numFmt w:val="decimal"/>
      <w:pStyle w:val="39"/>
      <w:suff w:val="nothing"/>
      <w:lvlText w:val="%1%2.%3.%4.%5.%6　"/>
      <w:lvlJc w:val="left"/>
      <w:pPr>
        <w:ind w:left="0" w:firstLine="0"/>
      </w:pPr>
      <w:rPr>
        <w:rFonts w:hint="eastAsia" w:ascii="黑体" w:hAnsi="黑体" w:eastAsia="黑体"/>
        <w:b w:val="0"/>
        <w:i w:val="0"/>
        <w:sz w:val="21"/>
      </w:rPr>
    </w:lvl>
    <w:lvl w:ilvl="6" w:tentative="0">
      <w:start w:val="1"/>
      <w:numFmt w:val="decimal"/>
      <w:pStyle w:val="40"/>
      <w:suff w:val="nothing"/>
      <w:lvlText w:val="%1%2.%3.%4.%5.%6.%7　"/>
      <w:lvlJc w:val="left"/>
      <w:pPr>
        <w:ind w:left="0" w:firstLine="0"/>
      </w:pPr>
      <w:rPr>
        <w:rFonts w:hint="eastAsia" w:ascii="黑体" w:hAnsi="黑体" w:eastAsia="黑体"/>
        <w:b w:val="0"/>
        <w:i w:val="0"/>
        <w:sz w:val="21"/>
      </w:rPr>
    </w:lvl>
    <w:lvl w:ilvl="7" w:tentative="0">
      <w:start w:val="1"/>
      <w:numFmt w:val="decimal"/>
      <w:lvlText w:val="%1.%2.%3.%4.%5.%6.%7.%8"/>
      <w:lvlJc w:val="left"/>
      <w:pPr>
        <w:ind w:left="3969" w:hanging="1418"/>
      </w:pPr>
      <w:rPr>
        <w:rFonts w:hint="eastAsia"/>
      </w:rPr>
    </w:lvl>
    <w:lvl w:ilvl="8" w:tentative="0">
      <w:start w:val="1"/>
      <w:numFmt w:val="decimal"/>
      <w:lvlText w:val="%1.%2.%3.%4.%5.%6.%7.%8.%9"/>
      <w:lvlJc w:val="left"/>
      <w:pPr>
        <w:ind w:left="4677" w:hanging="1700"/>
      </w:pPr>
      <w:rPr>
        <w:rFonts w:hint="eastAsia"/>
      </w:rPr>
    </w:lvl>
  </w:abstractNum>
  <w:num w:numId="1">
    <w:abstractNumId w:val="2"/>
  </w:num>
  <w:num w:numId="2">
    <w:abstractNumId w:val="7"/>
  </w:num>
  <w:num w:numId="3">
    <w:abstractNumId w:val="0"/>
  </w:num>
  <w:num w:numId="4">
    <w:abstractNumId w:val="6"/>
  </w:num>
  <w:num w:numId="5">
    <w:abstractNumId w:val="5"/>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3YWM2MDE3M2ExM2IyNzVhYWY2ZjE1ZGNhOWI3MWIifQ=="/>
  </w:docVars>
  <w:rsids>
    <w:rsidRoot w:val="00670628"/>
    <w:rsid w:val="00071276"/>
    <w:rsid w:val="00077ED5"/>
    <w:rsid w:val="0009189D"/>
    <w:rsid w:val="00092EC9"/>
    <w:rsid w:val="0009442B"/>
    <w:rsid w:val="000C4A2E"/>
    <w:rsid w:val="000C6FC9"/>
    <w:rsid w:val="00103D59"/>
    <w:rsid w:val="00117393"/>
    <w:rsid w:val="00136A5E"/>
    <w:rsid w:val="001639A7"/>
    <w:rsid w:val="00165FB4"/>
    <w:rsid w:val="001C3DDF"/>
    <w:rsid w:val="001D7E63"/>
    <w:rsid w:val="001E0523"/>
    <w:rsid w:val="001F0AFA"/>
    <w:rsid w:val="001F22EC"/>
    <w:rsid w:val="001F2A9C"/>
    <w:rsid w:val="001F3C37"/>
    <w:rsid w:val="0020259C"/>
    <w:rsid w:val="00205F7B"/>
    <w:rsid w:val="002410F1"/>
    <w:rsid w:val="002775D9"/>
    <w:rsid w:val="002A2EF4"/>
    <w:rsid w:val="002A7B88"/>
    <w:rsid w:val="002C05A5"/>
    <w:rsid w:val="002C194E"/>
    <w:rsid w:val="002D655D"/>
    <w:rsid w:val="00304136"/>
    <w:rsid w:val="00307A95"/>
    <w:rsid w:val="00326B49"/>
    <w:rsid w:val="003369AF"/>
    <w:rsid w:val="00337F4D"/>
    <w:rsid w:val="003526D0"/>
    <w:rsid w:val="00376669"/>
    <w:rsid w:val="00396BED"/>
    <w:rsid w:val="003A6B66"/>
    <w:rsid w:val="003B7FEE"/>
    <w:rsid w:val="003D0967"/>
    <w:rsid w:val="003D5A64"/>
    <w:rsid w:val="003D6656"/>
    <w:rsid w:val="003E5807"/>
    <w:rsid w:val="003F32E0"/>
    <w:rsid w:val="003F7048"/>
    <w:rsid w:val="00422BC5"/>
    <w:rsid w:val="00431937"/>
    <w:rsid w:val="00477268"/>
    <w:rsid w:val="00494183"/>
    <w:rsid w:val="004A25E2"/>
    <w:rsid w:val="004C62BA"/>
    <w:rsid w:val="004D7500"/>
    <w:rsid w:val="004E4654"/>
    <w:rsid w:val="004E52A1"/>
    <w:rsid w:val="004F1C5E"/>
    <w:rsid w:val="005025F9"/>
    <w:rsid w:val="00513F7B"/>
    <w:rsid w:val="005670AA"/>
    <w:rsid w:val="00577718"/>
    <w:rsid w:val="00585799"/>
    <w:rsid w:val="005A3ED7"/>
    <w:rsid w:val="005D0BBC"/>
    <w:rsid w:val="005F2737"/>
    <w:rsid w:val="005F5738"/>
    <w:rsid w:val="0060335A"/>
    <w:rsid w:val="0060338E"/>
    <w:rsid w:val="006325D8"/>
    <w:rsid w:val="00643911"/>
    <w:rsid w:val="00660BE4"/>
    <w:rsid w:val="00670628"/>
    <w:rsid w:val="006833F5"/>
    <w:rsid w:val="00692AEF"/>
    <w:rsid w:val="0069744B"/>
    <w:rsid w:val="006C1E9E"/>
    <w:rsid w:val="006C59E7"/>
    <w:rsid w:val="006D0A94"/>
    <w:rsid w:val="006D4593"/>
    <w:rsid w:val="006E4440"/>
    <w:rsid w:val="006F02B8"/>
    <w:rsid w:val="00700500"/>
    <w:rsid w:val="007253E2"/>
    <w:rsid w:val="00753290"/>
    <w:rsid w:val="00753A14"/>
    <w:rsid w:val="00782718"/>
    <w:rsid w:val="0078462B"/>
    <w:rsid w:val="00792299"/>
    <w:rsid w:val="0079342B"/>
    <w:rsid w:val="0079508D"/>
    <w:rsid w:val="007A3B50"/>
    <w:rsid w:val="007C00AC"/>
    <w:rsid w:val="007D42DA"/>
    <w:rsid w:val="00815AC0"/>
    <w:rsid w:val="00853CAE"/>
    <w:rsid w:val="00860202"/>
    <w:rsid w:val="00870605"/>
    <w:rsid w:val="00873A37"/>
    <w:rsid w:val="008816DB"/>
    <w:rsid w:val="00892A40"/>
    <w:rsid w:val="008B7006"/>
    <w:rsid w:val="008D3E15"/>
    <w:rsid w:val="008D7E7C"/>
    <w:rsid w:val="0096506C"/>
    <w:rsid w:val="00965494"/>
    <w:rsid w:val="00975A92"/>
    <w:rsid w:val="00975D66"/>
    <w:rsid w:val="009D4D2F"/>
    <w:rsid w:val="009E4035"/>
    <w:rsid w:val="009F54E6"/>
    <w:rsid w:val="00A04D21"/>
    <w:rsid w:val="00A12741"/>
    <w:rsid w:val="00A15DE5"/>
    <w:rsid w:val="00A16BE5"/>
    <w:rsid w:val="00A16DEC"/>
    <w:rsid w:val="00A51131"/>
    <w:rsid w:val="00A75274"/>
    <w:rsid w:val="00A83AD0"/>
    <w:rsid w:val="00AA48E3"/>
    <w:rsid w:val="00AA7A15"/>
    <w:rsid w:val="00AE2A8B"/>
    <w:rsid w:val="00AE2B37"/>
    <w:rsid w:val="00B003CF"/>
    <w:rsid w:val="00B12805"/>
    <w:rsid w:val="00B15281"/>
    <w:rsid w:val="00B22BA0"/>
    <w:rsid w:val="00B26CFE"/>
    <w:rsid w:val="00B3377C"/>
    <w:rsid w:val="00B41FAC"/>
    <w:rsid w:val="00B47475"/>
    <w:rsid w:val="00B71C3E"/>
    <w:rsid w:val="00B904A4"/>
    <w:rsid w:val="00BC3BD2"/>
    <w:rsid w:val="00BC497E"/>
    <w:rsid w:val="00BC7F7D"/>
    <w:rsid w:val="00BD4C96"/>
    <w:rsid w:val="00BE0ECC"/>
    <w:rsid w:val="00BF7856"/>
    <w:rsid w:val="00C0231F"/>
    <w:rsid w:val="00C10EA1"/>
    <w:rsid w:val="00C11ED8"/>
    <w:rsid w:val="00C15BC0"/>
    <w:rsid w:val="00C25CAC"/>
    <w:rsid w:val="00C36F7E"/>
    <w:rsid w:val="00C41A04"/>
    <w:rsid w:val="00C603FA"/>
    <w:rsid w:val="00C85D36"/>
    <w:rsid w:val="00CB5A10"/>
    <w:rsid w:val="00CC4B14"/>
    <w:rsid w:val="00CF2CAE"/>
    <w:rsid w:val="00CF46FE"/>
    <w:rsid w:val="00D13FA7"/>
    <w:rsid w:val="00D17240"/>
    <w:rsid w:val="00D4231B"/>
    <w:rsid w:val="00D66C7B"/>
    <w:rsid w:val="00D9637F"/>
    <w:rsid w:val="00DA57A4"/>
    <w:rsid w:val="00DB0C9C"/>
    <w:rsid w:val="00DB7481"/>
    <w:rsid w:val="00DD0ACE"/>
    <w:rsid w:val="00E022E7"/>
    <w:rsid w:val="00E246AA"/>
    <w:rsid w:val="00E34DE8"/>
    <w:rsid w:val="00E3750B"/>
    <w:rsid w:val="00E45014"/>
    <w:rsid w:val="00E85C03"/>
    <w:rsid w:val="00EB0475"/>
    <w:rsid w:val="00F00238"/>
    <w:rsid w:val="00F014AF"/>
    <w:rsid w:val="00F05B2D"/>
    <w:rsid w:val="00F616B8"/>
    <w:rsid w:val="00F62C73"/>
    <w:rsid w:val="00FA1781"/>
    <w:rsid w:val="00FC02BF"/>
    <w:rsid w:val="00FC1E08"/>
    <w:rsid w:val="00FC60DC"/>
    <w:rsid w:val="00FC725C"/>
    <w:rsid w:val="00FF002D"/>
    <w:rsid w:val="00FF449E"/>
    <w:rsid w:val="01050F22"/>
    <w:rsid w:val="011473B7"/>
    <w:rsid w:val="01253372"/>
    <w:rsid w:val="01260E98"/>
    <w:rsid w:val="013B6EA9"/>
    <w:rsid w:val="01422176"/>
    <w:rsid w:val="01431A4A"/>
    <w:rsid w:val="014337F8"/>
    <w:rsid w:val="01527EDF"/>
    <w:rsid w:val="0156177E"/>
    <w:rsid w:val="01583748"/>
    <w:rsid w:val="015E0632"/>
    <w:rsid w:val="01973B44"/>
    <w:rsid w:val="01A544B3"/>
    <w:rsid w:val="01AE3368"/>
    <w:rsid w:val="01C26E13"/>
    <w:rsid w:val="01D17056"/>
    <w:rsid w:val="01D628BE"/>
    <w:rsid w:val="01EC0334"/>
    <w:rsid w:val="02321AFC"/>
    <w:rsid w:val="023F2212"/>
    <w:rsid w:val="02421D02"/>
    <w:rsid w:val="0261487E"/>
    <w:rsid w:val="02693733"/>
    <w:rsid w:val="02702D13"/>
    <w:rsid w:val="028247F4"/>
    <w:rsid w:val="02856D53"/>
    <w:rsid w:val="028642E4"/>
    <w:rsid w:val="028D58A7"/>
    <w:rsid w:val="02902A6D"/>
    <w:rsid w:val="029167E5"/>
    <w:rsid w:val="02954528"/>
    <w:rsid w:val="02994018"/>
    <w:rsid w:val="02AB3D4B"/>
    <w:rsid w:val="02B726F0"/>
    <w:rsid w:val="02BA21E0"/>
    <w:rsid w:val="02BF3353"/>
    <w:rsid w:val="02D05560"/>
    <w:rsid w:val="031A0897"/>
    <w:rsid w:val="03394EB3"/>
    <w:rsid w:val="034D095E"/>
    <w:rsid w:val="034D6BB0"/>
    <w:rsid w:val="035166A0"/>
    <w:rsid w:val="03800D34"/>
    <w:rsid w:val="0381685A"/>
    <w:rsid w:val="03836A76"/>
    <w:rsid w:val="038A3960"/>
    <w:rsid w:val="038A7E04"/>
    <w:rsid w:val="0392081F"/>
    <w:rsid w:val="03936CB9"/>
    <w:rsid w:val="03B60BF9"/>
    <w:rsid w:val="03BE360A"/>
    <w:rsid w:val="03BE7AAE"/>
    <w:rsid w:val="03D270B5"/>
    <w:rsid w:val="03D90444"/>
    <w:rsid w:val="03DD1CE2"/>
    <w:rsid w:val="03E73DE4"/>
    <w:rsid w:val="03EC0177"/>
    <w:rsid w:val="03F11C32"/>
    <w:rsid w:val="03F92894"/>
    <w:rsid w:val="03FD05D6"/>
    <w:rsid w:val="04071455"/>
    <w:rsid w:val="041651F4"/>
    <w:rsid w:val="041A1188"/>
    <w:rsid w:val="042913CB"/>
    <w:rsid w:val="042E6C12"/>
    <w:rsid w:val="04363AE8"/>
    <w:rsid w:val="04390EE3"/>
    <w:rsid w:val="04702B56"/>
    <w:rsid w:val="04812FB5"/>
    <w:rsid w:val="048C3708"/>
    <w:rsid w:val="049820AD"/>
    <w:rsid w:val="04B07888"/>
    <w:rsid w:val="04BF3ADE"/>
    <w:rsid w:val="04CB4231"/>
    <w:rsid w:val="04D255BF"/>
    <w:rsid w:val="04D31337"/>
    <w:rsid w:val="04D70E27"/>
    <w:rsid w:val="04DF5F2E"/>
    <w:rsid w:val="04FF037E"/>
    <w:rsid w:val="05080FE1"/>
    <w:rsid w:val="05092FAB"/>
    <w:rsid w:val="050B6D23"/>
    <w:rsid w:val="051756C8"/>
    <w:rsid w:val="0526590B"/>
    <w:rsid w:val="052676B9"/>
    <w:rsid w:val="05412745"/>
    <w:rsid w:val="0575625F"/>
    <w:rsid w:val="05760640"/>
    <w:rsid w:val="05777F14"/>
    <w:rsid w:val="058F34B0"/>
    <w:rsid w:val="05940AC6"/>
    <w:rsid w:val="05B20F4D"/>
    <w:rsid w:val="05B2719F"/>
    <w:rsid w:val="05CA273A"/>
    <w:rsid w:val="05CD5D86"/>
    <w:rsid w:val="05D9472B"/>
    <w:rsid w:val="05DB4947"/>
    <w:rsid w:val="05E01F5E"/>
    <w:rsid w:val="060914B4"/>
    <w:rsid w:val="060A0D89"/>
    <w:rsid w:val="061B11E8"/>
    <w:rsid w:val="062A31D9"/>
    <w:rsid w:val="06316315"/>
    <w:rsid w:val="0644429B"/>
    <w:rsid w:val="064804FD"/>
    <w:rsid w:val="06497B03"/>
    <w:rsid w:val="064F2C3F"/>
    <w:rsid w:val="06691F53"/>
    <w:rsid w:val="068168E8"/>
    <w:rsid w:val="06846D8D"/>
    <w:rsid w:val="0696086E"/>
    <w:rsid w:val="06A967F3"/>
    <w:rsid w:val="06B07B82"/>
    <w:rsid w:val="06CC74F3"/>
    <w:rsid w:val="06E070B1"/>
    <w:rsid w:val="06E93094"/>
    <w:rsid w:val="06FE6B3F"/>
    <w:rsid w:val="070112C8"/>
    <w:rsid w:val="070C28DE"/>
    <w:rsid w:val="071874D5"/>
    <w:rsid w:val="072916E2"/>
    <w:rsid w:val="072D11D3"/>
    <w:rsid w:val="072E0AA7"/>
    <w:rsid w:val="073360BD"/>
    <w:rsid w:val="07373DFF"/>
    <w:rsid w:val="073A744C"/>
    <w:rsid w:val="074309F6"/>
    <w:rsid w:val="07550729"/>
    <w:rsid w:val="075524D7"/>
    <w:rsid w:val="076B5857"/>
    <w:rsid w:val="07750484"/>
    <w:rsid w:val="07837045"/>
    <w:rsid w:val="07866B35"/>
    <w:rsid w:val="07B471FE"/>
    <w:rsid w:val="07CF228A"/>
    <w:rsid w:val="07D478A0"/>
    <w:rsid w:val="07E1193E"/>
    <w:rsid w:val="07FE66CB"/>
    <w:rsid w:val="08167EB9"/>
    <w:rsid w:val="081B54CF"/>
    <w:rsid w:val="081E4FBF"/>
    <w:rsid w:val="08365E65"/>
    <w:rsid w:val="083D3697"/>
    <w:rsid w:val="084560A8"/>
    <w:rsid w:val="08512C9F"/>
    <w:rsid w:val="085602B5"/>
    <w:rsid w:val="085E716A"/>
    <w:rsid w:val="087D3A94"/>
    <w:rsid w:val="08955281"/>
    <w:rsid w:val="08AE6343"/>
    <w:rsid w:val="08D12032"/>
    <w:rsid w:val="08E65ADD"/>
    <w:rsid w:val="08E91129"/>
    <w:rsid w:val="08E92ED7"/>
    <w:rsid w:val="090B5543"/>
    <w:rsid w:val="093C74AB"/>
    <w:rsid w:val="09772BD9"/>
    <w:rsid w:val="097906FF"/>
    <w:rsid w:val="0983157E"/>
    <w:rsid w:val="098B3F8E"/>
    <w:rsid w:val="099C43EE"/>
    <w:rsid w:val="09A339CE"/>
    <w:rsid w:val="09B71227"/>
    <w:rsid w:val="09B94F9F"/>
    <w:rsid w:val="09BE4364"/>
    <w:rsid w:val="09CB082F"/>
    <w:rsid w:val="0A00672A"/>
    <w:rsid w:val="0A026946"/>
    <w:rsid w:val="0A186A74"/>
    <w:rsid w:val="0A232419"/>
    <w:rsid w:val="0A285C81"/>
    <w:rsid w:val="0A335F96"/>
    <w:rsid w:val="0A3E36F7"/>
    <w:rsid w:val="0A516F86"/>
    <w:rsid w:val="0A544CC8"/>
    <w:rsid w:val="0A6D7B38"/>
    <w:rsid w:val="0A79472F"/>
    <w:rsid w:val="0A7B4003"/>
    <w:rsid w:val="0A83110A"/>
    <w:rsid w:val="0A8F3F52"/>
    <w:rsid w:val="0A951569"/>
    <w:rsid w:val="0A99092D"/>
    <w:rsid w:val="0A9B46A5"/>
    <w:rsid w:val="0AA01CBB"/>
    <w:rsid w:val="0AB67731"/>
    <w:rsid w:val="0ABE2142"/>
    <w:rsid w:val="0ACC2AB1"/>
    <w:rsid w:val="0ADD7058"/>
    <w:rsid w:val="0AE278DF"/>
    <w:rsid w:val="0B064214"/>
    <w:rsid w:val="0B1A1A6E"/>
    <w:rsid w:val="0B2621C1"/>
    <w:rsid w:val="0B354AFA"/>
    <w:rsid w:val="0B3C7C36"/>
    <w:rsid w:val="0B422D73"/>
    <w:rsid w:val="0B4D3BF1"/>
    <w:rsid w:val="0B680A2B"/>
    <w:rsid w:val="0B6E5916"/>
    <w:rsid w:val="0B7C6285"/>
    <w:rsid w:val="0B927856"/>
    <w:rsid w:val="0B932773"/>
    <w:rsid w:val="0B9915FB"/>
    <w:rsid w:val="0BBF2615"/>
    <w:rsid w:val="0BCD088E"/>
    <w:rsid w:val="0BD53BE7"/>
    <w:rsid w:val="0C0B7609"/>
    <w:rsid w:val="0C14470F"/>
    <w:rsid w:val="0C1A784C"/>
    <w:rsid w:val="0C594818"/>
    <w:rsid w:val="0C5B233E"/>
    <w:rsid w:val="0C656D19"/>
    <w:rsid w:val="0C796C68"/>
    <w:rsid w:val="0CA43CE5"/>
    <w:rsid w:val="0CC250AF"/>
    <w:rsid w:val="0CC94C69"/>
    <w:rsid w:val="0CD143AE"/>
    <w:rsid w:val="0CD8398F"/>
    <w:rsid w:val="0CF32576"/>
    <w:rsid w:val="0D054058"/>
    <w:rsid w:val="0D215336"/>
    <w:rsid w:val="0D224C0A"/>
    <w:rsid w:val="0D3D5EE8"/>
    <w:rsid w:val="0D471D25"/>
    <w:rsid w:val="0D501777"/>
    <w:rsid w:val="0D60383E"/>
    <w:rsid w:val="0D774F56"/>
    <w:rsid w:val="0D7B2671"/>
    <w:rsid w:val="0D817B82"/>
    <w:rsid w:val="0D8B27AF"/>
    <w:rsid w:val="0D933D59"/>
    <w:rsid w:val="0D961154"/>
    <w:rsid w:val="0DB5782C"/>
    <w:rsid w:val="0DBA7538"/>
    <w:rsid w:val="0DE46363"/>
    <w:rsid w:val="0E1529C0"/>
    <w:rsid w:val="0E2350DD"/>
    <w:rsid w:val="0E26697C"/>
    <w:rsid w:val="0E2A1FC8"/>
    <w:rsid w:val="0E2D1AB8"/>
    <w:rsid w:val="0E3966AF"/>
    <w:rsid w:val="0E5139F9"/>
    <w:rsid w:val="0E5232CD"/>
    <w:rsid w:val="0E5434E9"/>
    <w:rsid w:val="0E567261"/>
    <w:rsid w:val="0E6D6359"/>
    <w:rsid w:val="0E7616B1"/>
    <w:rsid w:val="0ECD6DF7"/>
    <w:rsid w:val="0ECF0DC1"/>
    <w:rsid w:val="0ECF491D"/>
    <w:rsid w:val="0ED9579C"/>
    <w:rsid w:val="0EF44384"/>
    <w:rsid w:val="0F052A35"/>
    <w:rsid w:val="0F07055B"/>
    <w:rsid w:val="0F0D3AA2"/>
    <w:rsid w:val="0F2904D1"/>
    <w:rsid w:val="0F4A5C7C"/>
    <w:rsid w:val="0F5117D6"/>
    <w:rsid w:val="0F706100"/>
    <w:rsid w:val="0F9D2C6D"/>
    <w:rsid w:val="0FA67D74"/>
    <w:rsid w:val="0FAB7138"/>
    <w:rsid w:val="0FB32491"/>
    <w:rsid w:val="0FB51D65"/>
    <w:rsid w:val="0FBA55CD"/>
    <w:rsid w:val="0FBD6E6C"/>
    <w:rsid w:val="0FBF4992"/>
    <w:rsid w:val="0FDF5034"/>
    <w:rsid w:val="1008458B"/>
    <w:rsid w:val="100B5E29"/>
    <w:rsid w:val="101A2510"/>
    <w:rsid w:val="10233173"/>
    <w:rsid w:val="103A226A"/>
    <w:rsid w:val="103C4234"/>
    <w:rsid w:val="1041184B"/>
    <w:rsid w:val="104A4BA3"/>
    <w:rsid w:val="1057106E"/>
    <w:rsid w:val="10645539"/>
    <w:rsid w:val="10A342B4"/>
    <w:rsid w:val="10A73DA4"/>
    <w:rsid w:val="10BE733F"/>
    <w:rsid w:val="10C81F6C"/>
    <w:rsid w:val="10DB3A4D"/>
    <w:rsid w:val="10EA1EE2"/>
    <w:rsid w:val="10EA3C90"/>
    <w:rsid w:val="10F7015B"/>
    <w:rsid w:val="111E1B8C"/>
    <w:rsid w:val="113118BF"/>
    <w:rsid w:val="11321B76"/>
    <w:rsid w:val="113B44EC"/>
    <w:rsid w:val="11567578"/>
    <w:rsid w:val="11586462"/>
    <w:rsid w:val="115B06EA"/>
    <w:rsid w:val="11627CCB"/>
    <w:rsid w:val="11755C50"/>
    <w:rsid w:val="118A7141"/>
    <w:rsid w:val="11951E4E"/>
    <w:rsid w:val="119836EC"/>
    <w:rsid w:val="11B103EE"/>
    <w:rsid w:val="11B60016"/>
    <w:rsid w:val="11C10E95"/>
    <w:rsid w:val="11CB5870"/>
    <w:rsid w:val="11DF30C9"/>
    <w:rsid w:val="11E626AA"/>
    <w:rsid w:val="11ED5847"/>
    <w:rsid w:val="12045226"/>
    <w:rsid w:val="121E62E8"/>
    <w:rsid w:val="12374CB3"/>
    <w:rsid w:val="12463148"/>
    <w:rsid w:val="12505D75"/>
    <w:rsid w:val="125A3098"/>
    <w:rsid w:val="128679E9"/>
    <w:rsid w:val="128B4FFF"/>
    <w:rsid w:val="12A54313"/>
    <w:rsid w:val="12A6008B"/>
    <w:rsid w:val="12CD73C6"/>
    <w:rsid w:val="12CF313E"/>
    <w:rsid w:val="12F157AA"/>
    <w:rsid w:val="12F901BB"/>
    <w:rsid w:val="12F9640D"/>
    <w:rsid w:val="130A686C"/>
    <w:rsid w:val="133C273C"/>
    <w:rsid w:val="13482EF0"/>
    <w:rsid w:val="134B4A7A"/>
    <w:rsid w:val="13533D6F"/>
    <w:rsid w:val="13651CF4"/>
    <w:rsid w:val="13734411"/>
    <w:rsid w:val="139D323C"/>
    <w:rsid w:val="13B16CE7"/>
    <w:rsid w:val="13C95DDF"/>
    <w:rsid w:val="13D6674E"/>
    <w:rsid w:val="13EB21F9"/>
    <w:rsid w:val="13EE5846"/>
    <w:rsid w:val="13F82B68"/>
    <w:rsid w:val="13F84B70"/>
    <w:rsid w:val="14056B10"/>
    <w:rsid w:val="140E5EE8"/>
    <w:rsid w:val="14184FB8"/>
    <w:rsid w:val="1424395D"/>
    <w:rsid w:val="14263231"/>
    <w:rsid w:val="143463B4"/>
    <w:rsid w:val="144162BD"/>
    <w:rsid w:val="144D6A10"/>
    <w:rsid w:val="14537D9F"/>
    <w:rsid w:val="146975C2"/>
    <w:rsid w:val="146D2C0E"/>
    <w:rsid w:val="14757D15"/>
    <w:rsid w:val="147E306D"/>
    <w:rsid w:val="147F207F"/>
    <w:rsid w:val="148368D6"/>
    <w:rsid w:val="148F527B"/>
    <w:rsid w:val="14AE3227"/>
    <w:rsid w:val="14B06F9F"/>
    <w:rsid w:val="14B46A8F"/>
    <w:rsid w:val="14BC1DE8"/>
    <w:rsid w:val="14E804E7"/>
    <w:rsid w:val="14F50E56"/>
    <w:rsid w:val="1534372C"/>
    <w:rsid w:val="15512530"/>
    <w:rsid w:val="156C736A"/>
    <w:rsid w:val="15791A87"/>
    <w:rsid w:val="15842905"/>
    <w:rsid w:val="158741A4"/>
    <w:rsid w:val="158D46EB"/>
    <w:rsid w:val="1594066F"/>
    <w:rsid w:val="15C076B6"/>
    <w:rsid w:val="15C70A44"/>
    <w:rsid w:val="15C745A0"/>
    <w:rsid w:val="15CE592F"/>
    <w:rsid w:val="15E2762C"/>
    <w:rsid w:val="15F029DA"/>
    <w:rsid w:val="15F555B1"/>
    <w:rsid w:val="16096967"/>
    <w:rsid w:val="1626576B"/>
    <w:rsid w:val="162D4D4B"/>
    <w:rsid w:val="163559AE"/>
    <w:rsid w:val="163C6D3C"/>
    <w:rsid w:val="1651030E"/>
    <w:rsid w:val="16526560"/>
    <w:rsid w:val="16541879"/>
    <w:rsid w:val="16646293"/>
    <w:rsid w:val="166C5148"/>
    <w:rsid w:val="167504A0"/>
    <w:rsid w:val="169066A8"/>
    <w:rsid w:val="169326D4"/>
    <w:rsid w:val="1699418F"/>
    <w:rsid w:val="16AB5C70"/>
    <w:rsid w:val="16B965DF"/>
    <w:rsid w:val="16C15797"/>
    <w:rsid w:val="16C273D4"/>
    <w:rsid w:val="16C805D0"/>
    <w:rsid w:val="16CE195E"/>
    <w:rsid w:val="16D50F3F"/>
    <w:rsid w:val="17125CEF"/>
    <w:rsid w:val="175A3CEF"/>
    <w:rsid w:val="175B7696"/>
    <w:rsid w:val="176F4EEF"/>
    <w:rsid w:val="177C760C"/>
    <w:rsid w:val="17920BDE"/>
    <w:rsid w:val="17984446"/>
    <w:rsid w:val="179E3336"/>
    <w:rsid w:val="17AA5F28"/>
    <w:rsid w:val="17B60D70"/>
    <w:rsid w:val="17C214C3"/>
    <w:rsid w:val="17C76AD9"/>
    <w:rsid w:val="17DD00AB"/>
    <w:rsid w:val="17E51656"/>
    <w:rsid w:val="17FD699F"/>
    <w:rsid w:val="18055854"/>
    <w:rsid w:val="181356E1"/>
    <w:rsid w:val="181810E3"/>
    <w:rsid w:val="181C3B02"/>
    <w:rsid w:val="182061EA"/>
    <w:rsid w:val="182A7068"/>
    <w:rsid w:val="182E4DAB"/>
    <w:rsid w:val="187327BD"/>
    <w:rsid w:val="18736C61"/>
    <w:rsid w:val="188D1AD1"/>
    <w:rsid w:val="189664AC"/>
    <w:rsid w:val="18AE7C99"/>
    <w:rsid w:val="18B03A11"/>
    <w:rsid w:val="18B54B84"/>
    <w:rsid w:val="18CE3E98"/>
    <w:rsid w:val="18E216F1"/>
    <w:rsid w:val="18F733EE"/>
    <w:rsid w:val="190653E0"/>
    <w:rsid w:val="19081158"/>
    <w:rsid w:val="190873AA"/>
    <w:rsid w:val="19173A91"/>
    <w:rsid w:val="19267830"/>
    <w:rsid w:val="193C34F7"/>
    <w:rsid w:val="19575C3B"/>
    <w:rsid w:val="195A572B"/>
    <w:rsid w:val="195E6FCA"/>
    <w:rsid w:val="19AC41D9"/>
    <w:rsid w:val="19C37774"/>
    <w:rsid w:val="19D674A8"/>
    <w:rsid w:val="19D92AF4"/>
    <w:rsid w:val="19DE010A"/>
    <w:rsid w:val="19E51499"/>
    <w:rsid w:val="19F50A37"/>
    <w:rsid w:val="19FB2A6A"/>
    <w:rsid w:val="1A0A7151"/>
    <w:rsid w:val="1A1A55E6"/>
    <w:rsid w:val="1A231FC1"/>
    <w:rsid w:val="1A3B37AF"/>
    <w:rsid w:val="1A404921"/>
    <w:rsid w:val="1A501008"/>
    <w:rsid w:val="1A55661F"/>
    <w:rsid w:val="1A693E78"/>
    <w:rsid w:val="1A78055F"/>
    <w:rsid w:val="1A8213DE"/>
    <w:rsid w:val="1A922F1E"/>
    <w:rsid w:val="1A974E89"/>
    <w:rsid w:val="1AA72BF2"/>
    <w:rsid w:val="1AA81136"/>
    <w:rsid w:val="1ABF618E"/>
    <w:rsid w:val="1AC92B69"/>
    <w:rsid w:val="1ACC6F92"/>
    <w:rsid w:val="1AF000F5"/>
    <w:rsid w:val="1B177D78"/>
    <w:rsid w:val="1B356450"/>
    <w:rsid w:val="1B3A3A66"/>
    <w:rsid w:val="1B7E7DF7"/>
    <w:rsid w:val="1B9211AC"/>
    <w:rsid w:val="1B9B0F64"/>
    <w:rsid w:val="1B9E2247"/>
    <w:rsid w:val="1BC53330"/>
    <w:rsid w:val="1BC82E20"/>
    <w:rsid w:val="1BD23C9F"/>
    <w:rsid w:val="1C077DEC"/>
    <w:rsid w:val="1C0F0A4F"/>
    <w:rsid w:val="1C19367C"/>
    <w:rsid w:val="1C1F5136"/>
    <w:rsid w:val="1C387FA6"/>
    <w:rsid w:val="1C3D380E"/>
    <w:rsid w:val="1C3D736A"/>
    <w:rsid w:val="1C422BD3"/>
    <w:rsid w:val="1C676ADD"/>
    <w:rsid w:val="1C821221"/>
    <w:rsid w:val="1C8925AF"/>
    <w:rsid w:val="1C907DE2"/>
    <w:rsid w:val="1C9378D2"/>
    <w:rsid w:val="1CA7512B"/>
    <w:rsid w:val="1CB533A4"/>
    <w:rsid w:val="1CB96BAD"/>
    <w:rsid w:val="1CC17F9B"/>
    <w:rsid w:val="1CC730D8"/>
    <w:rsid w:val="1CD13F56"/>
    <w:rsid w:val="1CDF0421"/>
    <w:rsid w:val="1CE41EDC"/>
    <w:rsid w:val="1CE77815"/>
    <w:rsid w:val="1CF00880"/>
    <w:rsid w:val="1CF3211F"/>
    <w:rsid w:val="1CF814E3"/>
    <w:rsid w:val="1D344C11"/>
    <w:rsid w:val="1D464944"/>
    <w:rsid w:val="1D4666F2"/>
    <w:rsid w:val="1D4961E3"/>
    <w:rsid w:val="1D666D95"/>
    <w:rsid w:val="1D6F5C49"/>
    <w:rsid w:val="1D752B34"/>
    <w:rsid w:val="1D756FD8"/>
    <w:rsid w:val="1DAF419C"/>
    <w:rsid w:val="1DC37D43"/>
    <w:rsid w:val="1DC60688"/>
    <w:rsid w:val="1DC835AB"/>
    <w:rsid w:val="1DCB5B61"/>
    <w:rsid w:val="1DCD2970"/>
    <w:rsid w:val="1DD106B2"/>
    <w:rsid w:val="1DDC7057"/>
    <w:rsid w:val="1DF51CE6"/>
    <w:rsid w:val="1E0C3498"/>
    <w:rsid w:val="1E197963"/>
    <w:rsid w:val="1E1D0780"/>
    <w:rsid w:val="1E1D38F7"/>
    <w:rsid w:val="1E1D56A5"/>
    <w:rsid w:val="1E1E141D"/>
    <w:rsid w:val="1E220F0E"/>
    <w:rsid w:val="1E334EC9"/>
    <w:rsid w:val="1E3F4E76"/>
    <w:rsid w:val="1E4470D6"/>
    <w:rsid w:val="1E731769"/>
    <w:rsid w:val="1E7B23CC"/>
    <w:rsid w:val="1EA27958"/>
    <w:rsid w:val="1EA47B74"/>
    <w:rsid w:val="1EA71413"/>
    <w:rsid w:val="1EB06519"/>
    <w:rsid w:val="1EB3600A"/>
    <w:rsid w:val="1EB53B30"/>
    <w:rsid w:val="1EB63404"/>
    <w:rsid w:val="1ED32208"/>
    <w:rsid w:val="1ED61CF8"/>
    <w:rsid w:val="1EF53F2C"/>
    <w:rsid w:val="1EFA1543"/>
    <w:rsid w:val="1F0D396C"/>
    <w:rsid w:val="1F1C3BAF"/>
    <w:rsid w:val="1F264A2D"/>
    <w:rsid w:val="1F332CA6"/>
    <w:rsid w:val="1F3D58D3"/>
    <w:rsid w:val="1F4D1FBA"/>
    <w:rsid w:val="1F4F72A1"/>
    <w:rsid w:val="1F725B98"/>
    <w:rsid w:val="1F7C63FB"/>
    <w:rsid w:val="1F7E2174"/>
    <w:rsid w:val="1F890B18"/>
    <w:rsid w:val="1F8E0312"/>
    <w:rsid w:val="1F923E71"/>
    <w:rsid w:val="1FAF4A23"/>
    <w:rsid w:val="1FBC0EEE"/>
    <w:rsid w:val="1FCB2EDF"/>
    <w:rsid w:val="1FDF698A"/>
    <w:rsid w:val="1FE10954"/>
    <w:rsid w:val="1FE87F35"/>
    <w:rsid w:val="1FF02946"/>
    <w:rsid w:val="1FF71F26"/>
    <w:rsid w:val="1FFB7C68"/>
    <w:rsid w:val="20012DA5"/>
    <w:rsid w:val="200308CB"/>
    <w:rsid w:val="200D34F7"/>
    <w:rsid w:val="20335A75"/>
    <w:rsid w:val="203E1903"/>
    <w:rsid w:val="204809D3"/>
    <w:rsid w:val="204C4020"/>
    <w:rsid w:val="206A094A"/>
    <w:rsid w:val="20717F2A"/>
    <w:rsid w:val="20855784"/>
    <w:rsid w:val="208A0FEC"/>
    <w:rsid w:val="208D63E6"/>
    <w:rsid w:val="2091237A"/>
    <w:rsid w:val="20A0611A"/>
    <w:rsid w:val="20B3409F"/>
    <w:rsid w:val="20C30D0B"/>
    <w:rsid w:val="20ED0ADD"/>
    <w:rsid w:val="20F36B91"/>
    <w:rsid w:val="20FF1092"/>
    <w:rsid w:val="210668C5"/>
    <w:rsid w:val="210C4FBF"/>
    <w:rsid w:val="21156B08"/>
    <w:rsid w:val="211A5ECC"/>
    <w:rsid w:val="21466CC1"/>
    <w:rsid w:val="21470C8B"/>
    <w:rsid w:val="216D06F2"/>
    <w:rsid w:val="21701F90"/>
    <w:rsid w:val="21863561"/>
    <w:rsid w:val="218872DA"/>
    <w:rsid w:val="21997739"/>
    <w:rsid w:val="21A71140"/>
    <w:rsid w:val="21A734D8"/>
    <w:rsid w:val="21A8797C"/>
    <w:rsid w:val="21C1459A"/>
    <w:rsid w:val="21C67E02"/>
    <w:rsid w:val="21CB18BC"/>
    <w:rsid w:val="21D249F9"/>
    <w:rsid w:val="21E07116"/>
    <w:rsid w:val="224376A4"/>
    <w:rsid w:val="225418B2"/>
    <w:rsid w:val="22547A81"/>
    <w:rsid w:val="226A69DF"/>
    <w:rsid w:val="22715CCB"/>
    <w:rsid w:val="22715FC0"/>
    <w:rsid w:val="22861B9F"/>
    <w:rsid w:val="22D84291"/>
    <w:rsid w:val="22D87DED"/>
    <w:rsid w:val="22E5075C"/>
    <w:rsid w:val="22F4274D"/>
    <w:rsid w:val="22F9381E"/>
    <w:rsid w:val="22FD3CF7"/>
    <w:rsid w:val="231F3C6E"/>
    <w:rsid w:val="23266F64"/>
    <w:rsid w:val="232C1EE7"/>
    <w:rsid w:val="23377209"/>
    <w:rsid w:val="233A686A"/>
    <w:rsid w:val="233F7E6C"/>
    <w:rsid w:val="23445482"/>
    <w:rsid w:val="2355143D"/>
    <w:rsid w:val="236478D2"/>
    <w:rsid w:val="236B2A0F"/>
    <w:rsid w:val="23813BD0"/>
    <w:rsid w:val="238510FB"/>
    <w:rsid w:val="239006C7"/>
    <w:rsid w:val="239857CE"/>
    <w:rsid w:val="239A1546"/>
    <w:rsid w:val="23A91789"/>
    <w:rsid w:val="23AC3027"/>
    <w:rsid w:val="23B048C6"/>
    <w:rsid w:val="23B1063E"/>
    <w:rsid w:val="23CE1A7B"/>
    <w:rsid w:val="23DA5DE6"/>
    <w:rsid w:val="23DC1B5F"/>
    <w:rsid w:val="23E17175"/>
    <w:rsid w:val="23E32EED"/>
    <w:rsid w:val="23E37490"/>
    <w:rsid w:val="23EA427B"/>
    <w:rsid w:val="23EB3B50"/>
    <w:rsid w:val="23F82B88"/>
    <w:rsid w:val="24023580"/>
    <w:rsid w:val="24125580"/>
    <w:rsid w:val="242B219E"/>
    <w:rsid w:val="242F6132"/>
    <w:rsid w:val="242F7EE0"/>
    <w:rsid w:val="243C084F"/>
    <w:rsid w:val="2446347C"/>
    <w:rsid w:val="24507E57"/>
    <w:rsid w:val="246062EC"/>
    <w:rsid w:val="247022A7"/>
    <w:rsid w:val="247104F9"/>
    <w:rsid w:val="247D50F0"/>
    <w:rsid w:val="24853FA4"/>
    <w:rsid w:val="248C70E1"/>
    <w:rsid w:val="2492046F"/>
    <w:rsid w:val="2492221D"/>
    <w:rsid w:val="24961D0D"/>
    <w:rsid w:val="24A3442A"/>
    <w:rsid w:val="24BE3012"/>
    <w:rsid w:val="24C148B0"/>
    <w:rsid w:val="24C50845"/>
    <w:rsid w:val="24D665AE"/>
    <w:rsid w:val="24E24F53"/>
    <w:rsid w:val="24E46F1D"/>
    <w:rsid w:val="24EE517D"/>
    <w:rsid w:val="24FE78B3"/>
    <w:rsid w:val="25096983"/>
    <w:rsid w:val="25145328"/>
    <w:rsid w:val="25227A45"/>
    <w:rsid w:val="2547125A"/>
    <w:rsid w:val="254E4396"/>
    <w:rsid w:val="255045B2"/>
    <w:rsid w:val="25551BC9"/>
    <w:rsid w:val="255F47F5"/>
    <w:rsid w:val="2572277A"/>
    <w:rsid w:val="257302A1"/>
    <w:rsid w:val="25873D4C"/>
    <w:rsid w:val="25951FC5"/>
    <w:rsid w:val="25B032A3"/>
    <w:rsid w:val="25B54415"/>
    <w:rsid w:val="25B74631"/>
    <w:rsid w:val="25BC1C48"/>
    <w:rsid w:val="25BE31FE"/>
    <w:rsid w:val="25C46DB6"/>
    <w:rsid w:val="25C603D0"/>
    <w:rsid w:val="25D23219"/>
    <w:rsid w:val="25D845A8"/>
    <w:rsid w:val="260D5FFF"/>
    <w:rsid w:val="26123616"/>
    <w:rsid w:val="26141BBF"/>
    <w:rsid w:val="261C6242"/>
    <w:rsid w:val="262477ED"/>
    <w:rsid w:val="262E41C8"/>
    <w:rsid w:val="26301CEE"/>
    <w:rsid w:val="264A7253"/>
    <w:rsid w:val="265C6F87"/>
    <w:rsid w:val="26753BA5"/>
    <w:rsid w:val="267A11BB"/>
    <w:rsid w:val="268838D8"/>
    <w:rsid w:val="26A60202"/>
    <w:rsid w:val="26A76454"/>
    <w:rsid w:val="26AC3A6A"/>
    <w:rsid w:val="26BB3CAD"/>
    <w:rsid w:val="26C012C4"/>
    <w:rsid w:val="26C80178"/>
    <w:rsid w:val="26E6382E"/>
    <w:rsid w:val="26F70A5D"/>
    <w:rsid w:val="271433BD"/>
    <w:rsid w:val="272D447F"/>
    <w:rsid w:val="272E26D1"/>
    <w:rsid w:val="272F1FA5"/>
    <w:rsid w:val="27483067"/>
    <w:rsid w:val="27644345"/>
    <w:rsid w:val="27710810"/>
    <w:rsid w:val="27750300"/>
    <w:rsid w:val="278A3680"/>
    <w:rsid w:val="279A1B15"/>
    <w:rsid w:val="27A110F5"/>
    <w:rsid w:val="27A961FC"/>
    <w:rsid w:val="27B30E28"/>
    <w:rsid w:val="27BF3329"/>
    <w:rsid w:val="27C052F3"/>
    <w:rsid w:val="27C76682"/>
    <w:rsid w:val="27D05536"/>
    <w:rsid w:val="27F136FF"/>
    <w:rsid w:val="28014136"/>
    <w:rsid w:val="28017DE6"/>
    <w:rsid w:val="28173165"/>
    <w:rsid w:val="28247630"/>
    <w:rsid w:val="282633A8"/>
    <w:rsid w:val="285048C9"/>
    <w:rsid w:val="285C6DCA"/>
    <w:rsid w:val="28612632"/>
    <w:rsid w:val="28773C04"/>
    <w:rsid w:val="28902F18"/>
    <w:rsid w:val="289F315B"/>
    <w:rsid w:val="28AB1AFF"/>
    <w:rsid w:val="28BE1833"/>
    <w:rsid w:val="28D92B11"/>
    <w:rsid w:val="28E079FB"/>
    <w:rsid w:val="28E60D8A"/>
    <w:rsid w:val="28F811E9"/>
    <w:rsid w:val="28FD67FF"/>
    <w:rsid w:val="29373393"/>
    <w:rsid w:val="2940493E"/>
    <w:rsid w:val="29564161"/>
    <w:rsid w:val="29671ECA"/>
    <w:rsid w:val="296F0D7F"/>
    <w:rsid w:val="297B7724"/>
    <w:rsid w:val="297D524A"/>
    <w:rsid w:val="2984482A"/>
    <w:rsid w:val="298567F4"/>
    <w:rsid w:val="29891E41"/>
    <w:rsid w:val="298F1421"/>
    <w:rsid w:val="299E3412"/>
    <w:rsid w:val="29A94291"/>
    <w:rsid w:val="29A9703E"/>
    <w:rsid w:val="29B84F82"/>
    <w:rsid w:val="29DD03DE"/>
    <w:rsid w:val="29DD3F3B"/>
    <w:rsid w:val="29EC6874"/>
    <w:rsid w:val="2A1831C5"/>
    <w:rsid w:val="2A1C0F07"/>
    <w:rsid w:val="2A3049B2"/>
    <w:rsid w:val="2A44045E"/>
    <w:rsid w:val="2A467D32"/>
    <w:rsid w:val="2A502FEB"/>
    <w:rsid w:val="2A622692"/>
    <w:rsid w:val="2A6E7289"/>
    <w:rsid w:val="2A792CC4"/>
    <w:rsid w:val="2A8B3997"/>
    <w:rsid w:val="2ABA427C"/>
    <w:rsid w:val="2AD57308"/>
    <w:rsid w:val="2AE30A07"/>
    <w:rsid w:val="2AED63FF"/>
    <w:rsid w:val="2AFA0B1C"/>
    <w:rsid w:val="2B031DD0"/>
    <w:rsid w:val="2B1020EE"/>
    <w:rsid w:val="2B231E21"/>
    <w:rsid w:val="2B25203D"/>
    <w:rsid w:val="2B397896"/>
    <w:rsid w:val="2B5621F6"/>
    <w:rsid w:val="2B5D3585"/>
    <w:rsid w:val="2B807273"/>
    <w:rsid w:val="2B8F395A"/>
    <w:rsid w:val="2B944ACD"/>
    <w:rsid w:val="2B9920E3"/>
    <w:rsid w:val="2B9D1BD3"/>
    <w:rsid w:val="2BA13879"/>
    <w:rsid w:val="2BA5645F"/>
    <w:rsid w:val="2BAF7B59"/>
    <w:rsid w:val="2BB313F7"/>
    <w:rsid w:val="2BF35C97"/>
    <w:rsid w:val="2BFA0DD4"/>
    <w:rsid w:val="2C1125C1"/>
    <w:rsid w:val="2C153E60"/>
    <w:rsid w:val="2C2422F5"/>
    <w:rsid w:val="2C26606D"/>
    <w:rsid w:val="2C3B319A"/>
    <w:rsid w:val="2C4B7881"/>
    <w:rsid w:val="2C4C35F9"/>
    <w:rsid w:val="2C5129BE"/>
    <w:rsid w:val="2C6D3C9C"/>
    <w:rsid w:val="2C770676"/>
    <w:rsid w:val="2C8114F5"/>
    <w:rsid w:val="2C954FA0"/>
    <w:rsid w:val="2CC17B44"/>
    <w:rsid w:val="2CD45AC9"/>
    <w:rsid w:val="2CE4738C"/>
    <w:rsid w:val="2CE61358"/>
    <w:rsid w:val="2CE657FC"/>
    <w:rsid w:val="2D0C1766"/>
    <w:rsid w:val="2D1C4D7A"/>
    <w:rsid w:val="2D3A16A4"/>
    <w:rsid w:val="2D3B78F6"/>
    <w:rsid w:val="2D662499"/>
    <w:rsid w:val="2D7B7CF2"/>
    <w:rsid w:val="2D7E77E3"/>
    <w:rsid w:val="2D850B71"/>
    <w:rsid w:val="2D8F7C42"/>
    <w:rsid w:val="2D957A3F"/>
    <w:rsid w:val="2DBB27E5"/>
    <w:rsid w:val="2DE25FC3"/>
    <w:rsid w:val="2E1B7727"/>
    <w:rsid w:val="2E304F81"/>
    <w:rsid w:val="2E4E5407"/>
    <w:rsid w:val="2E56075F"/>
    <w:rsid w:val="2E731311"/>
    <w:rsid w:val="2E7C01C6"/>
    <w:rsid w:val="2E8E1CA7"/>
    <w:rsid w:val="2E9D2CFF"/>
    <w:rsid w:val="2EB55486"/>
    <w:rsid w:val="2EB931C8"/>
    <w:rsid w:val="2EC851B9"/>
    <w:rsid w:val="2EFA558F"/>
    <w:rsid w:val="2F0B779C"/>
    <w:rsid w:val="2F320885"/>
    <w:rsid w:val="2F397E65"/>
    <w:rsid w:val="2F4D3910"/>
    <w:rsid w:val="2F542EF1"/>
    <w:rsid w:val="2F594063"/>
    <w:rsid w:val="2F634EE2"/>
    <w:rsid w:val="2F650C5A"/>
    <w:rsid w:val="2F7E7F6E"/>
    <w:rsid w:val="2F866E22"/>
    <w:rsid w:val="2F8A246F"/>
    <w:rsid w:val="2F911A4F"/>
    <w:rsid w:val="2FA21EAE"/>
    <w:rsid w:val="2FA86D99"/>
    <w:rsid w:val="2FB971F8"/>
    <w:rsid w:val="2FBC2844"/>
    <w:rsid w:val="2FC5794B"/>
    <w:rsid w:val="2FC75471"/>
    <w:rsid w:val="2FCD4A51"/>
    <w:rsid w:val="2FCF2577"/>
    <w:rsid w:val="2FD44032"/>
    <w:rsid w:val="2FE36023"/>
    <w:rsid w:val="2FE853E7"/>
    <w:rsid w:val="2FFD0E93"/>
    <w:rsid w:val="300E30A0"/>
    <w:rsid w:val="3038011D"/>
    <w:rsid w:val="303B7C0D"/>
    <w:rsid w:val="304C3BC8"/>
    <w:rsid w:val="30536D05"/>
    <w:rsid w:val="305B02AF"/>
    <w:rsid w:val="305D7B83"/>
    <w:rsid w:val="30607673"/>
    <w:rsid w:val="3069477A"/>
    <w:rsid w:val="30B005FB"/>
    <w:rsid w:val="30C65728"/>
    <w:rsid w:val="30CE0A81"/>
    <w:rsid w:val="30E107B4"/>
    <w:rsid w:val="30E97669"/>
    <w:rsid w:val="30F720DE"/>
    <w:rsid w:val="30FF0C3A"/>
    <w:rsid w:val="31085D41"/>
    <w:rsid w:val="311F308B"/>
    <w:rsid w:val="315216B2"/>
    <w:rsid w:val="31615451"/>
    <w:rsid w:val="31741628"/>
    <w:rsid w:val="318A303D"/>
    <w:rsid w:val="319770C5"/>
    <w:rsid w:val="319A0963"/>
    <w:rsid w:val="31A17F44"/>
    <w:rsid w:val="31AA329C"/>
    <w:rsid w:val="31AF2660"/>
    <w:rsid w:val="31D40319"/>
    <w:rsid w:val="31D73965"/>
    <w:rsid w:val="31F6028F"/>
    <w:rsid w:val="32096215"/>
    <w:rsid w:val="32146967"/>
    <w:rsid w:val="32292413"/>
    <w:rsid w:val="324C4353"/>
    <w:rsid w:val="325C4C4F"/>
    <w:rsid w:val="32785148"/>
    <w:rsid w:val="327B69E7"/>
    <w:rsid w:val="329F0927"/>
    <w:rsid w:val="32E7407C"/>
    <w:rsid w:val="33226E62"/>
    <w:rsid w:val="33233306"/>
    <w:rsid w:val="33242BDA"/>
    <w:rsid w:val="33266952"/>
    <w:rsid w:val="33323549"/>
    <w:rsid w:val="33380434"/>
    <w:rsid w:val="333B7B1E"/>
    <w:rsid w:val="333E16CD"/>
    <w:rsid w:val="333F7A14"/>
    <w:rsid w:val="335E60EC"/>
    <w:rsid w:val="336E3E55"/>
    <w:rsid w:val="33770F5C"/>
    <w:rsid w:val="33791178"/>
    <w:rsid w:val="337F6063"/>
    <w:rsid w:val="339D3566"/>
    <w:rsid w:val="33B0446E"/>
    <w:rsid w:val="33B91574"/>
    <w:rsid w:val="33CD6DCE"/>
    <w:rsid w:val="33DB598F"/>
    <w:rsid w:val="33E800AC"/>
    <w:rsid w:val="33E83C08"/>
    <w:rsid w:val="340D7B12"/>
    <w:rsid w:val="3417273F"/>
    <w:rsid w:val="342525C1"/>
    <w:rsid w:val="342A4220"/>
    <w:rsid w:val="34403A44"/>
    <w:rsid w:val="345117AD"/>
    <w:rsid w:val="34580D8D"/>
    <w:rsid w:val="34692F9B"/>
    <w:rsid w:val="349873DC"/>
    <w:rsid w:val="34A264AC"/>
    <w:rsid w:val="34CE1050"/>
    <w:rsid w:val="34CF6B76"/>
    <w:rsid w:val="34E70363"/>
    <w:rsid w:val="34F211E2"/>
    <w:rsid w:val="34F565DC"/>
    <w:rsid w:val="34F860CC"/>
    <w:rsid w:val="34FA62E8"/>
    <w:rsid w:val="34FD36E3"/>
    <w:rsid w:val="34FF745B"/>
    <w:rsid w:val="35040F15"/>
    <w:rsid w:val="35154ED0"/>
    <w:rsid w:val="352073D1"/>
    <w:rsid w:val="3529272A"/>
    <w:rsid w:val="352C3FC8"/>
    <w:rsid w:val="353335A8"/>
    <w:rsid w:val="3538296D"/>
    <w:rsid w:val="353F5AA9"/>
    <w:rsid w:val="354B26A0"/>
    <w:rsid w:val="35531555"/>
    <w:rsid w:val="355F614C"/>
    <w:rsid w:val="356279EA"/>
    <w:rsid w:val="3574546B"/>
    <w:rsid w:val="35906305"/>
    <w:rsid w:val="35A87AF3"/>
    <w:rsid w:val="35B93AAE"/>
    <w:rsid w:val="35B9585C"/>
    <w:rsid w:val="35BB5A78"/>
    <w:rsid w:val="35BF4E3C"/>
    <w:rsid w:val="35EF127D"/>
    <w:rsid w:val="35F03248"/>
    <w:rsid w:val="35FA7C22"/>
    <w:rsid w:val="35FF6151"/>
    <w:rsid w:val="36105698"/>
    <w:rsid w:val="36313BE9"/>
    <w:rsid w:val="3639699D"/>
    <w:rsid w:val="365657A0"/>
    <w:rsid w:val="365732C7"/>
    <w:rsid w:val="365B2DB7"/>
    <w:rsid w:val="369E2CA4"/>
    <w:rsid w:val="36A91D74"/>
    <w:rsid w:val="36C546D4"/>
    <w:rsid w:val="36C721FA"/>
    <w:rsid w:val="36D05553"/>
    <w:rsid w:val="36DD557A"/>
    <w:rsid w:val="36E032BC"/>
    <w:rsid w:val="36F80606"/>
    <w:rsid w:val="36FA25D0"/>
    <w:rsid w:val="37024FE0"/>
    <w:rsid w:val="3709636F"/>
    <w:rsid w:val="37152F66"/>
    <w:rsid w:val="371F5B92"/>
    <w:rsid w:val="37217B5C"/>
    <w:rsid w:val="37307DA0"/>
    <w:rsid w:val="37425D25"/>
    <w:rsid w:val="374675C3"/>
    <w:rsid w:val="374C0952"/>
    <w:rsid w:val="374E0226"/>
    <w:rsid w:val="37503F9E"/>
    <w:rsid w:val="375F0685"/>
    <w:rsid w:val="376143FD"/>
    <w:rsid w:val="378974B0"/>
    <w:rsid w:val="378D51F2"/>
    <w:rsid w:val="378E2D18"/>
    <w:rsid w:val="37955E55"/>
    <w:rsid w:val="37957980"/>
    <w:rsid w:val="379F6CD3"/>
    <w:rsid w:val="37B22EAA"/>
    <w:rsid w:val="37CE1367"/>
    <w:rsid w:val="37DB41B8"/>
    <w:rsid w:val="37DC1CD5"/>
    <w:rsid w:val="37DE5A4E"/>
    <w:rsid w:val="37FE1C4C"/>
    <w:rsid w:val="38080D1C"/>
    <w:rsid w:val="380B25BB"/>
    <w:rsid w:val="38172D0E"/>
    <w:rsid w:val="381C51B2"/>
    <w:rsid w:val="382775E7"/>
    <w:rsid w:val="383733B0"/>
    <w:rsid w:val="383C09C6"/>
    <w:rsid w:val="38433B03"/>
    <w:rsid w:val="38521F98"/>
    <w:rsid w:val="38602906"/>
    <w:rsid w:val="386F2B4A"/>
    <w:rsid w:val="38702FBE"/>
    <w:rsid w:val="38710670"/>
    <w:rsid w:val="38765C86"/>
    <w:rsid w:val="387737AC"/>
    <w:rsid w:val="387B14EE"/>
    <w:rsid w:val="388163D9"/>
    <w:rsid w:val="3894610C"/>
    <w:rsid w:val="389B56ED"/>
    <w:rsid w:val="389E6F8B"/>
    <w:rsid w:val="38AA5930"/>
    <w:rsid w:val="38BF587F"/>
    <w:rsid w:val="38C8225A"/>
    <w:rsid w:val="38C83C36"/>
    <w:rsid w:val="38D1110E"/>
    <w:rsid w:val="38DE55D9"/>
    <w:rsid w:val="39081054"/>
    <w:rsid w:val="390F1C37"/>
    <w:rsid w:val="391A2AB5"/>
    <w:rsid w:val="391F00CC"/>
    <w:rsid w:val="3922196A"/>
    <w:rsid w:val="39253208"/>
    <w:rsid w:val="394915ED"/>
    <w:rsid w:val="396A50BF"/>
    <w:rsid w:val="397A79F8"/>
    <w:rsid w:val="3986014B"/>
    <w:rsid w:val="39893797"/>
    <w:rsid w:val="398B39B3"/>
    <w:rsid w:val="39A607ED"/>
    <w:rsid w:val="39B8407C"/>
    <w:rsid w:val="39C3314D"/>
    <w:rsid w:val="39CD7B28"/>
    <w:rsid w:val="39CE1AF2"/>
    <w:rsid w:val="39DC420F"/>
    <w:rsid w:val="39EC3D26"/>
    <w:rsid w:val="39F5707E"/>
    <w:rsid w:val="39F71049"/>
    <w:rsid w:val="39FA4695"/>
    <w:rsid w:val="3A0B4AF4"/>
    <w:rsid w:val="3A1A0893"/>
    <w:rsid w:val="3A232F1C"/>
    <w:rsid w:val="3A2D6818"/>
    <w:rsid w:val="3A3000B7"/>
    <w:rsid w:val="3A3758E9"/>
    <w:rsid w:val="3A43603C"/>
    <w:rsid w:val="3A465B2C"/>
    <w:rsid w:val="3A6D30B9"/>
    <w:rsid w:val="3A824DB6"/>
    <w:rsid w:val="3A895696"/>
    <w:rsid w:val="3A8C233B"/>
    <w:rsid w:val="3A8D5509"/>
    <w:rsid w:val="3A946897"/>
    <w:rsid w:val="3A9E7716"/>
    <w:rsid w:val="3AAD1707"/>
    <w:rsid w:val="3ABB3E24"/>
    <w:rsid w:val="3ABC194A"/>
    <w:rsid w:val="3ADB0022"/>
    <w:rsid w:val="3ADB44C6"/>
    <w:rsid w:val="3AE50EA1"/>
    <w:rsid w:val="3AE55345"/>
    <w:rsid w:val="3AF9494C"/>
    <w:rsid w:val="3B1479D8"/>
    <w:rsid w:val="3B253993"/>
    <w:rsid w:val="3B2A2D58"/>
    <w:rsid w:val="3B2A71FC"/>
    <w:rsid w:val="3B3D2A8B"/>
    <w:rsid w:val="3B4B164C"/>
    <w:rsid w:val="3B4C2CCE"/>
    <w:rsid w:val="3B554279"/>
    <w:rsid w:val="3B6224F2"/>
    <w:rsid w:val="3B64626A"/>
    <w:rsid w:val="3B712735"/>
    <w:rsid w:val="3B8C57C0"/>
    <w:rsid w:val="3B974891"/>
    <w:rsid w:val="3B9D79CE"/>
    <w:rsid w:val="3B9F72A2"/>
    <w:rsid w:val="3BAC7C11"/>
    <w:rsid w:val="3BB52F69"/>
    <w:rsid w:val="3BD57167"/>
    <w:rsid w:val="3BE13D5E"/>
    <w:rsid w:val="3BF27D19"/>
    <w:rsid w:val="3BFD221A"/>
    <w:rsid w:val="3C025A83"/>
    <w:rsid w:val="3C096E11"/>
    <w:rsid w:val="3C0E2679"/>
    <w:rsid w:val="3C1C4D96"/>
    <w:rsid w:val="3C2D0D52"/>
    <w:rsid w:val="3C320116"/>
    <w:rsid w:val="3C495460"/>
    <w:rsid w:val="3C8A1D00"/>
    <w:rsid w:val="3C8C1F1C"/>
    <w:rsid w:val="3C990195"/>
    <w:rsid w:val="3CAF79B9"/>
    <w:rsid w:val="3CB13731"/>
    <w:rsid w:val="3CB6521B"/>
    <w:rsid w:val="3CC176EC"/>
    <w:rsid w:val="3CC94001"/>
    <w:rsid w:val="3CD25455"/>
    <w:rsid w:val="3CDE204C"/>
    <w:rsid w:val="3CF8135F"/>
    <w:rsid w:val="3D0715A3"/>
    <w:rsid w:val="3D17730C"/>
    <w:rsid w:val="3D193084"/>
    <w:rsid w:val="3D22462E"/>
    <w:rsid w:val="3D235CB1"/>
    <w:rsid w:val="3D2832C7"/>
    <w:rsid w:val="3D2F28A7"/>
    <w:rsid w:val="3D42082D"/>
    <w:rsid w:val="3D4445A5"/>
    <w:rsid w:val="3D7309E6"/>
    <w:rsid w:val="3D7F55DD"/>
    <w:rsid w:val="3D864BBD"/>
    <w:rsid w:val="3D8E5820"/>
    <w:rsid w:val="3D8F2B4C"/>
    <w:rsid w:val="3DA167F8"/>
    <w:rsid w:val="3DA9265A"/>
    <w:rsid w:val="3DB1150E"/>
    <w:rsid w:val="3DB85EFC"/>
    <w:rsid w:val="3DD27E02"/>
    <w:rsid w:val="3DD35929"/>
    <w:rsid w:val="3DD671C7"/>
    <w:rsid w:val="3DDF42CD"/>
    <w:rsid w:val="3DE6740A"/>
    <w:rsid w:val="3DEB6423"/>
    <w:rsid w:val="3E18333B"/>
    <w:rsid w:val="3E216694"/>
    <w:rsid w:val="3E300685"/>
    <w:rsid w:val="3E3068D7"/>
    <w:rsid w:val="3E32264F"/>
    <w:rsid w:val="3E412892"/>
    <w:rsid w:val="3E4B54BF"/>
    <w:rsid w:val="3E4E3201"/>
    <w:rsid w:val="3E6622F9"/>
    <w:rsid w:val="3E6B790F"/>
    <w:rsid w:val="3E774506"/>
    <w:rsid w:val="3E834C59"/>
    <w:rsid w:val="3E95498C"/>
    <w:rsid w:val="3E9C5D1B"/>
    <w:rsid w:val="3EA846BF"/>
    <w:rsid w:val="3EA90437"/>
    <w:rsid w:val="3EAB41B0"/>
    <w:rsid w:val="3EAD1CD6"/>
    <w:rsid w:val="3ED100BA"/>
    <w:rsid w:val="3ED41958"/>
    <w:rsid w:val="3ED71449"/>
    <w:rsid w:val="3EFE69D5"/>
    <w:rsid w:val="3F082CB9"/>
    <w:rsid w:val="3F0C42FE"/>
    <w:rsid w:val="3F0D6C18"/>
    <w:rsid w:val="3F11495A"/>
    <w:rsid w:val="3F1C50AD"/>
    <w:rsid w:val="3F1C6E5B"/>
    <w:rsid w:val="3F2301EA"/>
    <w:rsid w:val="3F2B709E"/>
    <w:rsid w:val="3F2C52F0"/>
    <w:rsid w:val="3F3917BB"/>
    <w:rsid w:val="3F577E93"/>
    <w:rsid w:val="3F676329"/>
    <w:rsid w:val="3F6F1681"/>
    <w:rsid w:val="3F870316"/>
    <w:rsid w:val="3F9D7F9C"/>
    <w:rsid w:val="3FA16BC2"/>
    <w:rsid w:val="3FA255B3"/>
    <w:rsid w:val="3FA330D9"/>
    <w:rsid w:val="3FAF7CCF"/>
    <w:rsid w:val="3FB7520C"/>
    <w:rsid w:val="3FBF43B6"/>
    <w:rsid w:val="3FBF6165"/>
    <w:rsid w:val="3FC1012F"/>
    <w:rsid w:val="3FC45529"/>
    <w:rsid w:val="3FDB2873"/>
    <w:rsid w:val="3FE47979"/>
    <w:rsid w:val="3FF57DD8"/>
    <w:rsid w:val="3FFC1167"/>
    <w:rsid w:val="3FFD6C8D"/>
    <w:rsid w:val="40112738"/>
    <w:rsid w:val="401364B0"/>
    <w:rsid w:val="401F6C03"/>
    <w:rsid w:val="40275AB8"/>
    <w:rsid w:val="40324B88"/>
    <w:rsid w:val="404E74E8"/>
    <w:rsid w:val="40591A3B"/>
    <w:rsid w:val="4061546E"/>
    <w:rsid w:val="40667723"/>
    <w:rsid w:val="406E396B"/>
    <w:rsid w:val="408D0011"/>
    <w:rsid w:val="40A1586A"/>
    <w:rsid w:val="40A86BF9"/>
    <w:rsid w:val="40C854ED"/>
    <w:rsid w:val="40D75730"/>
    <w:rsid w:val="40E1035D"/>
    <w:rsid w:val="40E439A9"/>
    <w:rsid w:val="40E90FBF"/>
    <w:rsid w:val="40F351AE"/>
    <w:rsid w:val="411C1395"/>
    <w:rsid w:val="41281AE7"/>
    <w:rsid w:val="41384420"/>
    <w:rsid w:val="41412A78"/>
    <w:rsid w:val="41676AB4"/>
    <w:rsid w:val="416873AA"/>
    <w:rsid w:val="417B255F"/>
    <w:rsid w:val="41923405"/>
    <w:rsid w:val="41970A1B"/>
    <w:rsid w:val="41AC44C7"/>
    <w:rsid w:val="41B82E6B"/>
    <w:rsid w:val="41CA0DF1"/>
    <w:rsid w:val="41EA1493"/>
    <w:rsid w:val="41EA3241"/>
    <w:rsid w:val="421107CE"/>
    <w:rsid w:val="42165DE4"/>
    <w:rsid w:val="421F113C"/>
    <w:rsid w:val="424B3CDF"/>
    <w:rsid w:val="42613503"/>
    <w:rsid w:val="42666D6B"/>
    <w:rsid w:val="42870A90"/>
    <w:rsid w:val="42935686"/>
    <w:rsid w:val="429457DD"/>
    <w:rsid w:val="429F5DD9"/>
    <w:rsid w:val="42A67168"/>
    <w:rsid w:val="42B20202"/>
    <w:rsid w:val="42DC0DDB"/>
    <w:rsid w:val="42E163F2"/>
    <w:rsid w:val="42E303BC"/>
    <w:rsid w:val="42F51E9D"/>
    <w:rsid w:val="42F8373B"/>
    <w:rsid w:val="4303280C"/>
    <w:rsid w:val="43192030"/>
    <w:rsid w:val="431E7646"/>
    <w:rsid w:val="431F6C99"/>
    <w:rsid w:val="43284021"/>
    <w:rsid w:val="43370708"/>
    <w:rsid w:val="43396C2B"/>
    <w:rsid w:val="434370AD"/>
    <w:rsid w:val="434A043B"/>
    <w:rsid w:val="4352109E"/>
    <w:rsid w:val="435B61A4"/>
    <w:rsid w:val="435C3CCA"/>
    <w:rsid w:val="436F1C50"/>
    <w:rsid w:val="438A6A89"/>
    <w:rsid w:val="43A833B4"/>
    <w:rsid w:val="43A871C2"/>
    <w:rsid w:val="43AD2778"/>
    <w:rsid w:val="43B9111D"/>
    <w:rsid w:val="43C04259"/>
    <w:rsid w:val="43C26223"/>
    <w:rsid w:val="43C401ED"/>
    <w:rsid w:val="43C55D14"/>
    <w:rsid w:val="43C72518"/>
    <w:rsid w:val="43CE2E1A"/>
    <w:rsid w:val="43D67F21"/>
    <w:rsid w:val="43F403A7"/>
    <w:rsid w:val="43FE2FD4"/>
    <w:rsid w:val="440F6F8F"/>
    <w:rsid w:val="442A5B77"/>
    <w:rsid w:val="443609BF"/>
    <w:rsid w:val="444906F3"/>
    <w:rsid w:val="44507CD3"/>
    <w:rsid w:val="44562E10"/>
    <w:rsid w:val="44627A06"/>
    <w:rsid w:val="44705C7F"/>
    <w:rsid w:val="4484797D"/>
    <w:rsid w:val="448E07FB"/>
    <w:rsid w:val="449F0313"/>
    <w:rsid w:val="44A013A8"/>
    <w:rsid w:val="44A21BB1"/>
    <w:rsid w:val="44AD0C81"/>
    <w:rsid w:val="44BD4C3D"/>
    <w:rsid w:val="44E73A68"/>
    <w:rsid w:val="44EB79FC"/>
    <w:rsid w:val="44F00B6E"/>
    <w:rsid w:val="44FA19ED"/>
    <w:rsid w:val="4513485D"/>
    <w:rsid w:val="4517434D"/>
    <w:rsid w:val="452847AC"/>
    <w:rsid w:val="452A0524"/>
    <w:rsid w:val="452D591E"/>
    <w:rsid w:val="45372C41"/>
    <w:rsid w:val="454142AB"/>
    <w:rsid w:val="4550160D"/>
    <w:rsid w:val="45505AB1"/>
    <w:rsid w:val="45617CBE"/>
    <w:rsid w:val="45637592"/>
    <w:rsid w:val="456652D4"/>
    <w:rsid w:val="456F23DB"/>
    <w:rsid w:val="456F5F37"/>
    <w:rsid w:val="45815C6A"/>
    <w:rsid w:val="458539AC"/>
    <w:rsid w:val="45857508"/>
    <w:rsid w:val="458F482B"/>
    <w:rsid w:val="4597723C"/>
    <w:rsid w:val="45AC718B"/>
    <w:rsid w:val="45B63B66"/>
    <w:rsid w:val="45C67B21"/>
    <w:rsid w:val="45FE550D"/>
    <w:rsid w:val="461272D1"/>
    <w:rsid w:val="461F2DEE"/>
    <w:rsid w:val="46205483"/>
    <w:rsid w:val="463D7DE3"/>
    <w:rsid w:val="46472A10"/>
    <w:rsid w:val="465B470D"/>
    <w:rsid w:val="46712183"/>
    <w:rsid w:val="4674757D"/>
    <w:rsid w:val="46761547"/>
    <w:rsid w:val="467D4684"/>
    <w:rsid w:val="46821C9A"/>
    <w:rsid w:val="46832BE1"/>
    <w:rsid w:val="46845A12"/>
    <w:rsid w:val="46935C55"/>
    <w:rsid w:val="46A9191C"/>
    <w:rsid w:val="46CC1167"/>
    <w:rsid w:val="46FC7C9E"/>
    <w:rsid w:val="46FD7572"/>
    <w:rsid w:val="4702037D"/>
    <w:rsid w:val="471548BC"/>
    <w:rsid w:val="47282841"/>
    <w:rsid w:val="4734568A"/>
    <w:rsid w:val="47370CD6"/>
    <w:rsid w:val="473E2065"/>
    <w:rsid w:val="47411B55"/>
    <w:rsid w:val="476615BC"/>
    <w:rsid w:val="477B5067"/>
    <w:rsid w:val="479C7295"/>
    <w:rsid w:val="47A345BE"/>
    <w:rsid w:val="47C50090"/>
    <w:rsid w:val="47C87B80"/>
    <w:rsid w:val="47D74267"/>
    <w:rsid w:val="47E81FD1"/>
    <w:rsid w:val="47F40975"/>
    <w:rsid w:val="47FE35A2"/>
    <w:rsid w:val="48030BB8"/>
    <w:rsid w:val="48082673"/>
    <w:rsid w:val="480A0199"/>
    <w:rsid w:val="48427933"/>
    <w:rsid w:val="486F26F2"/>
    <w:rsid w:val="487A6D10"/>
    <w:rsid w:val="48873598"/>
    <w:rsid w:val="48965ED0"/>
    <w:rsid w:val="48BA1BBF"/>
    <w:rsid w:val="4904108C"/>
    <w:rsid w:val="491A08B0"/>
    <w:rsid w:val="49365D0D"/>
    <w:rsid w:val="493C25D4"/>
    <w:rsid w:val="49423962"/>
    <w:rsid w:val="494476DB"/>
    <w:rsid w:val="49521DF7"/>
    <w:rsid w:val="497A134E"/>
    <w:rsid w:val="49865F45"/>
    <w:rsid w:val="49A50DB2"/>
    <w:rsid w:val="49BA799D"/>
    <w:rsid w:val="49BE748D"/>
    <w:rsid w:val="49D15412"/>
    <w:rsid w:val="49F25388"/>
    <w:rsid w:val="49F92273"/>
    <w:rsid w:val="4A253068"/>
    <w:rsid w:val="4A395BD8"/>
    <w:rsid w:val="4A3E412A"/>
    <w:rsid w:val="4A45195C"/>
    <w:rsid w:val="4A657908"/>
    <w:rsid w:val="4A743FEF"/>
    <w:rsid w:val="4A7D2EA4"/>
    <w:rsid w:val="4A8A55C1"/>
    <w:rsid w:val="4A8F0E29"/>
    <w:rsid w:val="4A930919"/>
    <w:rsid w:val="4AA448D5"/>
    <w:rsid w:val="4AA541A9"/>
    <w:rsid w:val="4AD131F0"/>
    <w:rsid w:val="4AD36F68"/>
    <w:rsid w:val="4AEF7FB3"/>
    <w:rsid w:val="4AFB026D"/>
    <w:rsid w:val="4B0C247A"/>
    <w:rsid w:val="4B1650A7"/>
    <w:rsid w:val="4B1D33D7"/>
    <w:rsid w:val="4B321EE0"/>
    <w:rsid w:val="4B3774F7"/>
    <w:rsid w:val="4B3D0885"/>
    <w:rsid w:val="4B6D116B"/>
    <w:rsid w:val="4B7F0E9E"/>
    <w:rsid w:val="4BAB3A41"/>
    <w:rsid w:val="4BC44B03"/>
    <w:rsid w:val="4BC6087B"/>
    <w:rsid w:val="4BCD467C"/>
    <w:rsid w:val="4BCE14DD"/>
    <w:rsid w:val="4BD9235C"/>
    <w:rsid w:val="4BDC3BFA"/>
    <w:rsid w:val="4BE40D01"/>
    <w:rsid w:val="4BF61160"/>
    <w:rsid w:val="4C132EE4"/>
    <w:rsid w:val="4C1710D6"/>
    <w:rsid w:val="4C40062D"/>
    <w:rsid w:val="4C4D2D4A"/>
    <w:rsid w:val="4C516396"/>
    <w:rsid w:val="4C6C31D0"/>
    <w:rsid w:val="4C80411D"/>
    <w:rsid w:val="4C8147A2"/>
    <w:rsid w:val="4C8E75EA"/>
    <w:rsid w:val="4C9B3AB5"/>
    <w:rsid w:val="4CB46925"/>
    <w:rsid w:val="4CB66B41"/>
    <w:rsid w:val="4CC34DBA"/>
    <w:rsid w:val="4CD6689C"/>
    <w:rsid w:val="4CDB65A8"/>
    <w:rsid w:val="4CE94B07"/>
    <w:rsid w:val="4CF82CB6"/>
    <w:rsid w:val="4D241CFD"/>
    <w:rsid w:val="4D267823"/>
    <w:rsid w:val="4D2E2B7B"/>
    <w:rsid w:val="4D317F76"/>
    <w:rsid w:val="4D3B0DF4"/>
    <w:rsid w:val="4D4203D5"/>
    <w:rsid w:val="4D423F31"/>
    <w:rsid w:val="4D493511"/>
    <w:rsid w:val="4D4B54DB"/>
    <w:rsid w:val="4D5048A0"/>
    <w:rsid w:val="4D5679DC"/>
    <w:rsid w:val="4DC4528E"/>
    <w:rsid w:val="4DC96400"/>
    <w:rsid w:val="4DE43A02"/>
    <w:rsid w:val="4DF55447"/>
    <w:rsid w:val="4DFA0CB0"/>
    <w:rsid w:val="4DFC67D6"/>
    <w:rsid w:val="4E061402"/>
    <w:rsid w:val="4E1C6E78"/>
    <w:rsid w:val="4E231FB4"/>
    <w:rsid w:val="4E28581D"/>
    <w:rsid w:val="4E2B2C17"/>
    <w:rsid w:val="4E316C78"/>
    <w:rsid w:val="4E61488B"/>
    <w:rsid w:val="4E816CDB"/>
    <w:rsid w:val="4E86609F"/>
    <w:rsid w:val="4E947749"/>
    <w:rsid w:val="4E9764FE"/>
    <w:rsid w:val="4EA330F5"/>
    <w:rsid w:val="4EA34EA3"/>
    <w:rsid w:val="4EBD41B7"/>
    <w:rsid w:val="4ED60DD5"/>
    <w:rsid w:val="4F005E52"/>
    <w:rsid w:val="4F027E1C"/>
    <w:rsid w:val="4F033485"/>
    <w:rsid w:val="4F1162B1"/>
    <w:rsid w:val="4F363F69"/>
    <w:rsid w:val="4F3D0E54"/>
    <w:rsid w:val="4F431266"/>
    <w:rsid w:val="4F477F24"/>
    <w:rsid w:val="4F602D94"/>
    <w:rsid w:val="4F674123"/>
    <w:rsid w:val="4F860A4D"/>
    <w:rsid w:val="4FB54E8E"/>
    <w:rsid w:val="4FB629B4"/>
    <w:rsid w:val="4FD03A76"/>
    <w:rsid w:val="4FDA48F5"/>
    <w:rsid w:val="4FE45773"/>
    <w:rsid w:val="4FF97471"/>
    <w:rsid w:val="500F0A42"/>
    <w:rsid w:val="50106568"/>
    <w:rsid w:val="502344EE"/>
    <w:rsid w:val="50243DC2"/>
    <w:rsid w:val="50377F99"/>
    <w:rsid w:val="508036EE"/>
    <w:rsid w:val="508A00C9"/>
    <w:rsid w:val="508A1E77"/>
    <w:rsid w:val="508D5E0B"/>
    <w:rsid w:val="50B43398"/>
    <w:rsid w:val="50D92DFE"/>
    <w:rsid w:val="50DE6667"/>
    <w:rsid w:val="50E05F3B"/>
    <w:rsid w:val="50EA6DB9"/>
    <w:rsid w:val="50F96FFC"/>
    <w:rsid w:val="5100482F"/>
    <w:rsid w:val="51134562"/>
    <w:rsid w:val="51176CF3"/>
    <w:rsid w:val="51204589"/>
    <w:rsid w:val="512322CB"/>
    <w:rsid w:val="512A18AC"/>
    <w:rsid w:val="51337892"/>
    <w:rsid w:val="513B13C3"/>
    <w:rsid w:val="514364CA"/>
    <w:rsid w:val="51764AF1"/>
    <w:rsid w:val="51786173"/>
    <w:rsid w:val="517A013D"/>
    <w:rsid w:val="518C60C3"/>
    <w:rsid w:val="519136D9"/>
    <w:rsid w:val="519A07DF"/>
    <w:rsid w:val="519D5BDA"/>
    <w:rsid w:val="51AE6039"/>
    <w:rsid w:val="51BA2C30"/>
    <w:rsid w:val="51C70EA9"/>
    <w:rsid w:val="51F40361"/>
    <w:rsid w:val="51FF4AE6"/>
    <w:rsid w:val="52120376"/>
    <w:rsid w:val="52140592"/>
    <w:rsid w:val="521A1920"/>
    <w:rsid w:val="522E717A"/>
    <w:rsid w:val="52383B54"/>
    <w:rsid w:val="524D5852"/>
    <w:rsid w:val="525A1D1D"/>
    <w:rsid w:val="52614E59"/>
    <w:rsid w:val="526606C2"/>
    <w:rsid w:val="52754DA9"/>
    <w:rsid w:val="527821A3"/>
    <w:rsid w:val="527C7EE5"/>
    <w:rsid w:val="528648C0"/>
    <w:rsid w:val="529E7E5B"/>
    <w:rsid w:val="52AB2578"/>
    <w:rsid w:val="52AD4542"/>
    <w:rsid w:val="52C5188C"/>
    <w:rsid w:val="52CF6267"/>
    <w:rsid w:val="52DB10B0"/>
    <w:rsid w:val="52E00474"/>
    <w:rsid w:val="52E066C6"/>
    <w:rsid w:val="530323B4"/>
    <w:rsid w:val="53065A01"/>
    <w:rsid w:val="531B76FE"/>
    <w:rsid w:val="531E0F9C"/>
    <w:rsid w:val="53384087"/>
    <w:rsid w:val="534D3630"/>
    <w:rsid w:val="535F3A8F"/>
    <w:rsid w:val="537806AC"/>
    <w:rsid w:val="538A6632"/>
    <w:rsid w:val="53A72D40"/>
    <w:rsid w:val="53B11E10"/>
    <w:rsid w:val="53D33326"/>
    <w:rsid w:val="53F046E7"/>
    <w:rsid w:val="53F51CFD"/>
    <w:rsid w:val="53F561A1"/>
    <w:rsid w:val="53F56EA7"/>
    <w:rsid w:val="540B7773"/>
    <w:rsid w:val="54106B37"/>
    <w:rsid w:val="541303D5"/>
    <w:rsid w:val="541505F1"/>
    <w:rsid w:val="54302D35"/>
    <w:rsid w:val="546B1FBF"/>
    <w:rsid w:val="5474356A"/>
    <w:rsid w:val="54790B80"/>
    <w:rsid w:val="54843081"/>
    <w:rsid w:val="54A61249"/>
    <w:rsid w:val="54C067AF"/>
    <w:rsid w:val="54C65448"/>
    <w:rsid w:val="54DE4E87"/>
    <w:rsid w:val="54E05D49"/>
    <w:rsid w:val="54EF2BF0"/>
    <w:rsid w:val="54EF499E"/>
    <w:rsid w:val="54FE72D7"/>
    <w:rsid w:val="551B5793"/>
    <w:rsid w:val="5520724E"/>
    <w:rsid w:val="552705DC"/>
    <w:rsid w:val="552B28D9"/>
    <w:rsid w:val="55570796"/>
    <w:rsid w:val="555B0286"/>
    <w:rsid w:val="5560589C"/>
    <w:rsid w:val="5560764A"/>
    <w:rsid w:val="556829A3"/>
    <w:rsid w:val="556A671B"/>
    <w:rsid w:val="55760C1C"/>
    <w:rsid w:val="55766E6E"/>
    <w:rsid w:val="559D089E"/>
    <w:rsid w:val="55A559A5"/>
    <w:rsid w:val="55B41744"/>
    <w:rsid w:val="55B87486"/>
    <w:rsid w:val="55DD6EED"/>
    <w:rsid w:val="55E4027B"/>
    <w:rsid w:val="55EE2EA8"/>
    <w:rsid w:val="56002BDB"/>
    <w:rsid w:val="5604091D"/>
    <w:rsid w:val="56114DE8"/>
    <w:rsid w:val="561205A4"/>
    <w:rsid w:val="562E7748"/>
    <w:rsid w:val="564B02FA"/>
    <w:rsid w:val="56574EF1"/>
    <w:rsid w:val="565847C5"/>
    <w:rsid w:val="56821842"/>
    <w:rsid w:val="56AD68BF"/>
    <w:rsid w:val="56C1236A"/>
    <w:rsid w:val="56C97471"/>
    <w:rsid w:val="56DA179D"/>
    <w:rsid w:val="56DD60E9"/>
    <w:rsid w:val="56EB73E7"/>
    <w:rsid w:val="570606C5"/>
    <w:rsid w:val="572460C7"/>
    <w:rsid w:val="573B036F"/>
    <w:rsid w:val="574216FD"/>
    <w:rsid w:val="574472CC"/>
    <w:rsid w:val="574511ED"/>
    <w:rsid w:val="574C257C"/>
    <w:rsid w:val="574F5BC8"/>
    <w:rsid w:val="578E4942"/>
    <w:rsid w:val="578F06BB"/>
    <w:rsid w:val="579E26AC"/>
    <w:rsid w:val="57AE6D93"/>
    <w:rsid w:val="57D460CD"/>
    <w:rsid w:val="57FA1FD8"/>
    <w:rsid w:val="58150BC0"/>
    <w:rsid w:val="58160494"/>
    <w:rsid w:val="58242BB1"/>
    <w:rsid w:val="58247055"/>
    <w:rsid w:val="58276B45"/>
    <w:rsid w:val="5846521D"/>
    <w:rsid w:val="58613E05"/>
    <w:rsid w:val="588D4BFA"/>
    <w:rsid w:val="588E2720"/>
    <w:rsid w:val="589870FB"/>
    <w:rsid w:val="589917F1"/>
    <w:rsid w:val="58A261CC"/>
    <w:rsid w:val="58AF1500"/>
    <w:rsid w:val="58B8779D"/>
    <w:rsid w:val="58C3686E"/>
    <w:rsid w:val="58ED38EB"/>
    <w:rsid w:val="58F307D5"/>
    <w:rsid w:val="59154BEF"/>
    <w:rsid w:val="591C5F7E"/>
    <w:rsid w:val="592B7F6F"/>
    <w:rsid w:val="593C03CE"/>
    <w:rsid w:val="593E7E74"/>
    <w:rsid w:val="5940002C"/>
    <w:rsid w:val="59484FC5"/>
    <w:rsid w:val="59486D73"/>
    <w:rsid w:val="5955323E"/>
    <w:rsid w:val="595E20F3"/>
    <w:rsid w:val="59684D1F"/>
    <w:rsid w:val="59705BAE"/>
    <w:rsid w:val="59981AA8"/>
    <w:rsid w:val="59995821"/>
    <w:rsid w:val="59A541C5"/>
    <w:rsid w:val="59AA5338"/>
    <w:rsid w:val="59BE7035"/>
    <w:rsid w:val="59D10B16"/>
    <w:rsid w:val="59DD395F"/>
    <w:rsid w:val="59E22D24"/>
    <w:rsid w:val="59E545C2"/>
    <w:rsid w:val="59EC76FE"/>
    <w:rsid w:val="5A056A12"/>
    <w:rsid w:val="5A096502"/>
    <w:rsid w:val="5A0C1B4F"/>
    <w:rsid w:val="5A0C7CAD"/>
    <w:rsid w:val="5A1B4488"/>
    <w:rsid w:val="5A1F3613"/>
    <w:rsid w:val="5A1F47E7"/>
    <w:rsid w:val="5A252C10"/>
    <w:rsid w:val="5A290952"/>
    <w:rsid w:val="5A2E7D17"/>
    <w:rsid w:val="5A33357F"/>
    <w:rsid w:val="5A355549"/>
    <w:rsid w:val="5A3D43FE"/>
    <w:rsid w:val="5A4412E8"/>
    <w:rsid w:val="5A4532B2"/>
    <w:rsid w:val="5A4C2893"/>
    <w:rsid w:val="5A736072"/>
    <w:rsid w:val="5A771975"/>
    <w:rsid w:val="5A7871E4"/>
    <w:rsid w:val="5A7B0A82"/>
    <w:rsid w:val="5A841EEB"/>
    <w:rsid w:val="5A9B1124"/>
    <w:rsid w:val="5AA77AC9"/>
    <w:rsid w:val="5AA91A93"/>
    <w:rsid w:val="5ABF3065"/>
    <w:rsid w:val="5AC32A0F"/>
    <w:rsid w:val="5ACD72B1"/>
    <w:rsid w:val="5ADA39FB"/>
    <w:rsid w:val="5AEC372E"/>
    <w:rsid w:val="5AF30F60"/>
    <w:rsid w:val="5B171120"/>
    <w:rsid w:val="5B372BFB"/>
    <w:rsid w:val="5B433C96"/>
    <w:rsid w:val="5B4F263B"/>
    <w:rsid w:val="5B5A4B3C"/>
    <w:rsid w:val="5B77749C"/>
    <w:rsid w:val="5B834092"/>
    <w:rsid w:val="5B8A3673"/>
    <w:rsid w:val="5B911FC5"/>
    <w:rsid w:val="5BB26726"/>
    <w:rsid w:val="5BBE639B"/>
    <w:rsid w:val="5BCF1086"/>
    <w:rsid w:val="5BE82147"/>
    <w:rsid w:val="5BF64864"/>
    <w:rsid w:val="5BFD2097"/>
    <w:rsid w:val="5BFE5E0F"/>
    <w:rsid w:val="5C0974B1"/>
    <w:rsid w:val="5C1E0247"/>
    <w:rsid w:val="5C294C3A"/>
    <w:rsid w:val="5C480E38"/>
    <w:rsid w:val="5C4C0928"/>
    <w:rsid w:val="5C50666A"/>
    <w:rsid w:val="5C6E089F"/>
    <w:rsid w:val="5C732359"/>
    <w:rsid w:val="5C855BE8"/>
    <w:rsid w:val="5C906A3F"/>
    <w:rsid w:val="5C9F6CAA"/>
    <w:rsid w:val="5CDC1CAC"/>
    <w:rsid w:val="5CF07506"/>
    <w:rsid w:val="5D0336DD"/>
    <w:rsid w:val="5D1C654D"/>
    <w:rsid w:val="5D221689"/>
    <w:rsid w:val="5D2E44D2"/>
    <w:rsid w:val="5D3E2967"/>
    <w:rsid w:val="5D4635C9"/>
    <w:rsid w:val="5D5C4B9B"/>
    <w:rsid w:val="5D610403"/>
    <w:rsid w:val="5D647EF4"/>
    <w:rsid w:val="5D6677C8"/>
    <w:rsid w:val="5D9A56C3"/>
    <w:rsid w:val="5D9F0F2C"/>
    <w:rsid w:val="5DC6470A"/>
    <w:rsid w:val="5E0C611E"/>
    <w:rsid w:val="5E1E00A2"/>
    <w:rsid w:val="5E23390B"/>
    <w:rsid w:val="5E282CCF"/>
    <w:rsid w:val="5E2F405E"/>
    <w:rsid w:val="5E32576C"/>
    <w:rsid w:val="5E4C4C10"/>
    <w:rsid w:val="5E5F0DE7"/>
    <w:rsid w:val="5E6737F7"/>
    <w:rsid w:val="5E677C9B"/>
    <w:rsid w:val="5E714676"/>
    <w:rsid w:val="5E8048B9"/>
    <w:rsid w:val="5E820631"/>
    <w:rsid w:val="5E8343A9"/>
    <w:rsid w:val="5E875C48"/>
    <w:rsid w:val="5E96232F"/>
    <w:rsid w:val="5E99597B"/>
    <w:rsid w:val="5EBD3D5F"/>
    <w:rsid w:val="5EC44398"/>
    <w:rsid w:val="5EC44C78"/>
    <w:rsid w:val="5EC92704"/>
    <w:rsid w:val="5ECE7D1A"/>
    <w:rsid w:val="5EDF2C1F"/>
    <w:rsid w:val="5EEC01A1"/>
    <w:rsid w:val="5EEE216B"/>
    <w:rsid w:val="5F04373C"/>
    <w:rsid w:val="5F0C25F1"/>
    <w:rsid w:val="5F117C07"/>
    <w:rsid w:val="5F180F96"/>
    <w:rsid w:val="5F2142EE"/>
    <w:rsid w:val="5F230066"/>
    <w:rsid w:val="5F2636B2"/>
    <w:rsid w:val="5F3C4C84"/>
    <w:rsid w:val="5F443B39"/>
    <w:rsid w:val="5F555D46"/>
    <w:rsid w:val="5F8A1E93"/>
    <w:rsid w:val="5F8E1258"/>
    <w:rsid w:val="5F922AF6"/>
    <w:rsid w:val="5FA840C8"/>
    <w:rsid w:val="5FB27A72"/>
    <w:rsid w:val="5FBF1411"/>
    <w:rsid w:val="5FD17AC2"/>
    <w:rsid w:val="5FD924D3"/>
    <w:rsid w:val="5FDA624B"/>
    <w:rsid w:val="5FEB2206"/>
    <w:rsid w:val="6043282E"/>
    <w:rsid w:val="6054424F"/>
    <w:rsid w:val="60545FFD"/>
    <w:rsid w:val="60566219"/>
    <w:rsid w:val="60583D40"/>
    <w:rsid w:val="605E0C2A"/>
    <w:rsid w:val="605E6E7C"/>
    <w:rsid w:val="60602BF4"/>
    <w:rsid w:val="60786190"/>
    <w:rsid w:val="607B5C80"/>
    <w:rsid w:val="607E307A"/>
    <w:rsid w:val="607E751E"/>
    <w:rsid w:val="60870181"/>
    <w:rsid w:val="60A07495"/>
    <w:rsid w:val="60C43183"/>
    <w:rsid w:val="60CA4511"/>
    <w:rsid w:val="60DA0BF8"/>
    <w:rsid w:val="60E05AE3"/>
    <w:rsid w:val="60EC6236"/>
    <w:rsid w:val="60FA0CC7"/>
    <w:rsid w:val="61001CE1"/>
    <w:rsid w:val="61204131"/>
    <w:rsid w:val="612B1454"/>
    <w:rsid w:val="61355E2F"/>
    <w:rsid w:val="614B11AE"/>
    <w:rsid w:val="615838CB"/>
    <w:rsid w:val="61614E76"/>
    <w:rsid w:val="618172C6"/>
    <w:rsid w:val="61B76844"/>
    <w:rsid w:val="61B825BC"/>
    <w:rsid w:val="61C176C2"/>
    <w:rsid w:val="61C21FAA"/>
    <w:rsid w:val="61CB6793"/>
    <w:rsid w:val="61D03DA9"/>
    <w:rsid w:val="61DA0784"/>
    <w:rsid w:val="61EF2482"/>
    <w:rsid w:val="61FC06FB"/>
    <w:rsid w:val="62061579"/>
    <w:rsid w:val="621E68C3"/>
    <w:rsid w:val="622639C9"/>
    <w:rsid w:val="623B56C7"/>
    <w:rsid w:val="624327CD"/>
    <w:rsid w:val="62483940"/>
    <w:rsid w:val="625C563D"/>
    <w:rsid w:val="6267026A"/>
    <w:rsid w:val="627E55B4"/>
    <w:rsid w:val="62852736"/>
    <w:rsid w:val="628D57F7"/>
    <w:rsid w:val="6291178B"/>
    <w:rsid w:val="62A174CA"/>
    <w:rsid w:val="62B15989"/>
    <w:rsid w:val="62B17737"/>
    <w:rsid w:val="62BB2364"/>
    <w:rsid w:val="62BC7E8A"/>
    <w:rsid w:val="62C90F25"/>
    <w:rsid w:val="62D13935"/>
    <w:rsid w:val="62D84CC4"/>
    <w:rsid w:val="62F45876"/>
    <w:rsid w:val="62FE04A2"/>
    <w:rsid w:val="632919C3"/>
    <w:rsid w:val="632A1297"/>
    <w:rsid w:val="635A392B"/>
    <w:rsid w:val="635F3637"/>
    <w:rsid w:val="63690012"/>
    <w:rsid w:val="63696264"/>
    <w:rsid w:val="638E5891"/>
    <w:rsid w:val="639A01CB"/>
    <w:rsid w:val="639A466F"/>
    <w:rsid w:val="63AB23D8"/>
    <w:rsid w:val="63B75221"/>
    <w:rsid w:val="63BA086D"/>
    <w:rsid w:val="63BC6393"/>
    <w:rsid w:val="63D86F45"/>
    <w:rsid w:val="63D95197"/>
    <w:rsid w:val="63EC772F"/>
    <w:rsid w:val="63F21DB5"/>
    <w:rsid w:val="63F91396"/>
    <w:rsid w:val="63F975E8"/>
    <w:rsid w:val="640146D4"/>
    <w:rsid w:val="64032214"/>
    <w:rsid w:val="641644E4"/>
    <w:rsid w:val="641C5084"/>
    <w:rsid w:val="642F2A2B"/>
    <w:rsid w:val="64430863"/>
    <w:rsid w:val="64462101"/>
    <w:rsid w:val="64502F80"/>
    <w:rsid w:val="64550596"/>
    <w:rsid w:val="64722EF6"/>
    <w:rsid w:val="648D1ADE"/>
    <w:rsid w:val="64A137DB"/>
    <w:rsid w:val="64A85F96"/>
    <w:rsid w:val="64DD4813"/>
    <w:rsid w:val="64EA5182"/>
    <w:rsid w:val="64EA6F30"/>
    <w:rsid w:val="64F102BF"/>
    <w:rsid w:val="64F1206D"/>
    <w:rsid w:val="65055B18"/>
    <w:rsid w:val="650A1380"/>
    <w:rsid w:val="650A5824"/>
    <w:rsid w:val="650F4BE9"/>
    <w:rsid w:val="65150451"/>
    <w:rsid w:val="65510D5D"/>
    <w:rsid w:val="655D74FA"/>
    <w:rsid w:val="655D7702"/>
    <w:rsid w:val="656F762C"/>
    <w:rsid w:val="65766A16"/>
    <w:rsid w:val="65774A4A"/>
    <w:rsid w:val="657809E0"/>
    <w:rsid w:val="658A426F"/>
    <w:rsid w:val="658E3D60"/>
    <w:rsid w:val="65901886"/>
    <w:rsid w:val="65984BDE"/>
    <w:rsid w:val="65A96DEB"/>
    <w:rsid w:val="65B23EF2"/>
    <w:rsid w:val="65B337C6"/>
    <w:rsid w:val="65C6799D"/>
    <w:rsid w:val="65DE0138"/>
    <w:rsid w:val="65E240AB"/>
    <w:rsid w:val="65E41BD1"/>
    <w:rsid w:val="66012783"/>
    <w:rsid w:val="660404C6"/>
    <w:rsid w:val="66214BD4"/>
    <w:rsid w:val="662F5543"/>
    <w:rsid w:val="663E7534"/>
    <w:rsid w:val="664B1C51"/>
    <w:rsid w:val="66540B05"/>
    <w:rsid w:val="666D7E19"/>
    <w:rsid w:val="66882EA5"/>
    <w:rsid w:val="669E4476"/>
    <w:rsid w:val="66AF3F8D"/>
    <w:rsid w:val="66CF4630"/>
    <w:rsid w:val="66DA24E8"/>
    <w:rsid w:val="66E14363"/>
    <w:rsid w:val="66E55C01"/>
    <w:rsid w:val="66E71979"/>
    <w:rsid w:val="66EA1469"/>
    <w:rsid w:val="66EE099D"/>
    <w:rsid w:val="66F916AD"/>
    <w:rsid w:val="67193AFD"/>
    <w:rsid w:val="671B1623"/>
    <w:rsid w:val="672755B0"/>
    <w:rsid w:val="672C3830"/>
    <w:rsid w:val="672C7CD4"/>
    <w:rsid w:val="6732696D"/>
    <w:rsid w:val="67544B35"/>
    <w:rsid w:val="676034DA"/>
    <w:rsid w:val="676A5052"/>
    <w:rsid w:val="678E0047"/>
    <w:rsid w:val="67980EC5"/>
    <w:rsid w:val="67A755AC"/>
    <w:rsid w:val="67AC2BC3"/>
    <w:rsid w:val="67B6759E"/>
    <w:rsid w:val="67C1666E"/>
    <w:rsid w:val="67D619EE"/>
    <w:rsid w:val="67DD4B2A"/>
    <w:rsid w:val="67E22141"/>
    <w:rsid w:val="67ED7463"/>
    <w:rsid w:val="68064081"/>
    <w:rsid w:val="68071BA7"/>
    <w:rsid w:val="68126ECA"/>
    <w:rsid w:val="681C5653"/>
    <w:rsid w:val="683D381B"/>
    <w:rsid w:val="684F3103"/>
    <w:rsid w:val="68555008"/>
    <w:rsid w:val="68633281"/>
    <w:rsid w:val="6870599E"/>
    <w:rsid w:val="687F5BE1"/>
    <w:rsid w:val="68817BAC"/>
    <w:rsid w:val="689F6284"/>
    <w:rsid w:val="68B06C28"/>
    <w:rsid w:val="68BD36A5"/>
    <w:rsid w:val="68C161FA"/>
    <w:rsid w:val="68C31F72"/>
    <w:rsid w:val="68D51CA5"/>
    <w:rsid w:val="68D67EF7"/>
    <w:rsid w:val="68E7281B"/>
    <w:rsid w:val="69006B8C"/>
    <w:rsid w:val="69006D22"/>
    <w:rsid w:val="69036813"/>
    <w:rsid w:val="69124CA8"/>
    <w:rsid w:val="692C5D69"/>
    <w:rsid w:val="694F7CAA"/>
    <w:rsid w:val="69674FF3"/>
    <w:rsid w:val="697119CE"/>
    <w:rsid w:val="69766FE4"/>
    <w:rsid w:val="698536CB"/>
    <w:rsid w:val="698711F2"/>
    <w:rsid w:val="698F62F8"/>
    <w:rsid w:val="69931944"/>
    <w:rsid w:val="69F55AF1"/>
    <w:rsid w:val="69F83E9D"/>
    <w:rsid w:val="69FD14B4"/>
    <w:rsid w:val="69FD7706"/>
    <w:rsid w:val="6A1D3904"/>
    <w:rsid w:val="6A303637"/>
    <w:rsid w:val="6A7379C8"/>
    <w:rsid w:val="6A7554EE"/>
    <w:rsid w:val="6A794FDE"/>
    <w:rsid w:val="6A7C062B"/>
    <w:rsid w:val="6A835E5D"/>
    <w:rsid w:val="6A9D517E"/>
    <w:rsid w:val="6AA41033"/>
    <w:rsid w:val="6AA87672"/>
    <w:rsid w:val="6ADE12E5"/>
    <w:rsid w:val="6AE21E3A"/>
    <w:rsid w:val="6AFC6D40"/>
    <w:rsid w:val="6B0845B4"/>
    <w:rsid w:val="6B1D005F"/>
    <w:rsid w:val="6B3B04E6"/>
    <w:rsid w:val="6B413622"/>
    <w:rsid w:val="6B4E646B"/>
    <w:rsid w:val="6B574BF4"/>
    <w:rsid w:val="6B620FBC"/>
    <w:rsid w:val="6B6C4B43"/>
    <w:rsid w:val="6B7928A2"/>
    <w:rsid w:val="6B9145AA"/>
    <w:rsid w:val="6B9B71D6"/>
    <w:rsid w:val="6BBB5183"/>
    <w:rsid w:val="6BCF0C2E"/>
    <w:rsid w:val="6BDA7CFF"/>
    <w:rsid w:val="6BE50451"/>
    <w:rsid w:val="6BFD579B"/>
    <w:rsid w:val="6C0B435C"/>
    <w:rsid w:val="6C2341B9"/>
    <w:rsid w:val="6C2F69D8"/>
    <w:rsid w:val="6C376EFF"/>
    <w:rsid w:val="6C431FA0"/>
    <w:rsid w:val="6C472EBA"/>
    <w:rsid w:val="6C4C227F"/>
    <w:rsid w:val="6C4E249B"/>
    <w:rsid w:val="6C71782B"/>
    <w:rsid w:val="6C847C6A"/>
    <w:rsid w:val="6C9854C4"/>
    <w:rsid w:val="6CA34594"/>
    <w:rsid w:val="6CA95923"/>
    <w:rsid w:val="6CAF118B"/>
    <w:rsid w:val="6CBA368C"/>
    <w:rsid w:val="6CBF6EF4"/>
    <w:rsid w:val="6CC369E5"/>
    <w:rsid w:val="6CC85DA9"/>
    <w:rsid w:val="6CD7423E"/>
    <w:rsid w:val="6CE32BE3"/>
    <w:rsid w:val="6D042B59"/>
    <w:rsid w:val="6D056FFD"/>
    <w:rsid w:val="6D107750"/>
    <w:rsid w:val="6D17288C"/>
    <w:rsid w:val="6D1B05CF"/>
    <w:rsid w:val="6D1C4347"/>
    <w:rsid w:val="6D1F3B29"/>
    <w:rsid w:val="6D3D34E5"/>
    <w:rsid w:val="6D433682"/>
    <w:rsid w:val="6D4A0EB4"/>
    <w:rsid w:val="6D594C53"/>
    <w:rsid w:val="6D5B6C1D"/>
    <w:rsid w:val="6D5D0BE7"/>
    <w:rsid w:val="6D6A3304"/>
    <w:rsid w:val="6D6A50B2"/>
    <w:rsid w:val="6D8048D6"/>
    <w:rsid w:val="6D806684"/>
    <w:rsid w:val="6D940381"/>
    <w:rsid w:val="6D9F0E20"/>
    <w:rsid w:val="6DB93944"/>
    <w:rsid w:val="6DBC51E2"/>
    <w:rsid w:val="6DDB1B0C"/>
    <w:rsid w:val="6DF40E20"/>
    <w:rsid w:val="6E096679"/>
    <w:rsid w:val="6E0B0643"/>
    <w:rsid w:val="6E407BC1"/>
    <w:rsid w:val="6E5518BE"/>
    <w:rsid w:val="6E5A0C83"/>
    <w:rsid w:val="6E5D0773"/>
    <w:rsid w:val="6E5D69C5"/>
    <w:rsid w:val="6E6B10E2"/>
    <w:rsid w:val="6E6C09B6"/>
    <w:rsid w:val="6E6C4E5A"/>
    <w:rsid w:val="6E8679E1"/>
    <w:rsid w:val="6E9323E7"/>
    <w:rsid w:val="6EB02F99"/>
    <w:rsid w:val="6ED0363B"/>
    <w:rsid w:val="6ED8604B"/>
    <w:rsid w:val="6EE175F6"/>
    <w:rsid w:val="6EE449F0"/>
    <w:rsid w:val="6EF74724"/>
    <w:rsid w:val="6EF966EE"/>
    <w:rsid w:val="6F1F3C7A"/>
    <w:rsid w:val="6F771D08"/>
    <w:rsid w:val="6F773AB6"/>
    <w:rsid w:val="6F7C10CD"/>
    <w:rsid w:val="6F80296B"/>
    <w:rsid w:val="6FAD1286"/>
    <w:rsid w:val="6FBE2A69"/>
    <w:rsid w:val="6FBE35CB"/>
    <w:rsid w:val="6FC0720B"/>
    <w:rsid w:val="6FCD1928"/>
    <w:rsid w:val="6FE078AE"/>
    <w:rsid w:val="6FE80510"/>
    <w:rsid w:val="6FEA24DA"/>
    <w:rsid w:val="70090BB2"/>
    <w:rsid w:val="70164D14"/>
    <w:rsid w:val="703379DD"/>
    <w:rsid w:val="703B0F88"/>
    <w:rsid w:val="70587444"/>
    <w:rsid w:val="706A53C9"/>
    <w:rsid w:val="706F478E"/>
    <w:rsid w:val="70765B1C"/>
    <w:rsid w:val="70781894"/>
    <w:rsid w:val="707F70C6"/>
    <w:rsid w:val="70822713"/>
    <w:rsid w:val="70981F36"/>
    <w:rsid w:val="70A02B99"/>
    <w:rsid w:val="70B825D8"/>
    <w:rsid w:val="70C66AA3"/>
    <w:rsid w:val="70D80585"/>
    <w:rsid w:val="70DC0075"/>
    <w:rsid w:val="70DC62C7"/>
    <w:rsid w:val="70E80619"/>
    <w:rsid w:val="70FC24C5"/>
    <w:rsid w:val="71066EA0"/>
    <w:rsid w:val="711A0B9D"/>
    <w:rsid w:val="712A5284"/>
    <w:rsid w:val="712B2DAA"/>
    <w:rsid w:val="712F289B"/>
    <w:rsid w:val="71325EE7"/>
    <w:rsid w:val="714D0F73"/>
    <w:rsid w:val="715220E5"/>
    <w:rsid w:val="715B292D"/>
    <w:rsid w:val="715E6CDC"/>
    <w:rsid w:val="7169742F"/>
    <w:rsid w:val="716D33C3"/>
    <w:rsid w:val="7185070D"/>
    <w:rsid w:val="719426FE"/>
    <w:rsid w:val="71950224"/>
    <w:rsid w:val="71A010A2"/>
    <w:rsid w:val="71A05546"/>
    <w:rsid w:val="71AA0173"/>
    <w:rsid w:val="71D40D4C"/>
    <w:rsid w:val="71D90A58"/>
    <w:rsid w:val="71E52F59"/>
    <w:rsid w:val="71E82A49"/>
    <w:rsid w:val="720E3CB8"/>
    <w:rsid w:val="72121874"/>
    <w:rsid w:val="72331F17"/>
    <w:rsid w:val="723B701D"/>
    <w:rsid w:val="724539F8"/>
    <w:rsid w:val="724C2FD8"/>
    <w:rsid w:val="725974A3"/>
    <w:rsid w:val="72671BC0"/>
    <w:rsid w:val="72800ED4"/>
    <w:rsid w:val="728E539F"/>
    <w:rsid w:val="72964253"/>
    <w:rsid w:val="729B7ABC"/>
    <w:rsid w:val="72A9042B"/>
    <w:rsid w:val="72A921D9"/>
    <w:rsid w:val="72AF5315"/>
    <w:rsid w:val="72BB015E"/>
    <w:rsid w:val="72C2773E"/>
    <w:rsid w:val="72C708B1"/>
    <w:rsid w:val="72D60AF4"/>
    <w:rsid w:val="72E13CBE"/>
    <w:rsid w:val="72F62F44"/>
    <w:rsid w:val="731004AA"/>
    <w:rsid w:val="73155AC0"/>
    <w:rsid w:val="73217FC1"/>
    <w:rsid w:val="736305DA"/>
    <w:rsid w:val="736507F6"/>
    <w:rsid w:val="736D1458"/>
    <w:rsid w:val="7375655F"/>
    <w:rsid w:val="737C169B"/>
    <w:rsid w:val="73852C46"/>
    <w:rsid w:val="73972979"/>
    <w:rsid w:val="739A7D73"/>
    <w:rsid w:val="739E5AB6"/>
    <w:rsid w:val="73A11255"/>
    <w:rsid w:val="73A93C07"/>
    <w:rsid w:val="73AB3D2F"/>
    <w:rsid w:val="73BC23E0"/>
    <w:rsid w:val="73E831D5"/>
    <w:rsid w:val="73EF1E6D"/>
    <w:rsid w:val="740B2A1F"/>
    <w:rsid w:val="740C6EC3"/>
    <w:rsid w:val="741E09A4"/>
    <w:rsid w:val="7420471D"/>
    <w:rsid w:val="742C1313"/>
    <w:rsid w:val="742F4960"/>
    <w:rsid w:val="74345CC8"/>
    <w:rsid w:val="74485A21"/>
    <w:rsid w:val="744D4DE6"/>
    <w:rsid w:val="74566390"/>
    <w:rsid w:val="74687E72"/>
    <w:rsid w:val="747D391D"/>
    <w:rsid w:val="747E5666"/>
    <w:rsid w:val="74962C31"/>
    <w:rsid w:val="749F57AF"/>
    <w:rsid w:val="74A013B9"/>
    <w:rsid w:val="74A569D0"/>
    <w:rsid w:val="74AA2238"/>
    <w:rsid w:val="74B65081"/>
    <w:rsid w:val="74C90910"/>
    <w:rsid w:val="74CE4179"/>
    <w:rsid w:val="74D57018"/>
    <w:rsid w:val="74DF0134"/>
    <w:rsid w:val="74E92D60"/>
    <w:rsid w:val="74F57957"/>
    <w:rsid w:val="75041948"/>
    <w:rsid w:val="75183646"/>
    <w:rsid w:val="75510906"/>
    <w:rsid w:val="75525022"/>
    <w:rsid w:val="756B7C19"/>
    <w:rsid w:val="756F0026"/>
    <w:rsid w:val="75752846"/>
    <w:rsid w:val="75862CA5"/>
    <w:rsid w:val="759E7FEF"/>
    <w:rsid w:val="75A90742"/>
    <w:rsid w:val="75B710B1"/>
    <w:rsid w:val="75D94B83"/>
    <w:rsid w:val="75EB0D5A"/>
    <w:rsid w:val="75F61BD9"/>
    <w:rsid w:val="75F956C4"/>
    <w:rsid w:val="760A11E0"/>
    <w:rsid w:val="760F2C9B"/>
    <w:rsid w:val="761262E7"/>
    <w:rsid w:val="762D4ECF"/>
    <w:rsid w:val="7631776F"/>
    <w:rsid w:val="764346F2"/>
    <w:rsid w:val="764A5A81"/>
    <w:rsid w:val="764F753B"/>
    <w:rsid w:val="766703E1"/>
    <w:rsid w:val="766F7295"/>
    <w:rsid w:val="767C4F1A"/>
    <w:rsid w:val="767D5E56"/>
    <w:rsid w:val="768076F4"/>
    <w:rsid w:val="7682346D"/>
    <w:rsid w:val="76854D0B"/>
    <w:rsid w:val="768A40CF"/>
    <w:rsid w:val="76911902"/>
    <w:rsid w:val="76944F4E"/>
    <w:rsid w:val="76B15B00"/>
    <w:rsid w:val="76B4114C"/>
    <w:rsid w:val="76B455F0"/>
    <w:rsid w:val="76BB072D"/>
    <w:rsid w:val="76EB7264"/>
    <w:rsid w:val="76F105F2"/>
    <w:rsid w:val="76FD0D45"/>
    <w:rsid w:val="770976EA"/>
    <w:rsid w:val="770C0F88"/>
    <w:rsid w:val="77161E07"/>
    <w:rsid w:val="771816DB"/>
    <w:rsid w:val="77185B7F"/>
    <w:rsid w:val="771F0CBB"/>
    <w:rsid w:val="77253DF8"/>
    <w:rsid w:val="774E15A1"/>
    <w:rsid w:val="77512E3F"/>
    <w:rsid w:val="77514BED"/>
    <w:rsid w:val="77822FF8"/>
    <w:rsid w:val="778B00FF"/>
    <w:rsid w:val="778B6351"/>
    <w:rsid w:val="77AD62C7"/>
    <w:rsid w:val="77AE203F"/>
    <w:rsid w:val="77BF249E"/>
    <w:rsid w:val="77CE4490"/>
    <w:rsid w:val="77DC6BAC"/>
    <w:rsid w:val="77ED0DBA"/>
    <w:rsid w:val="77EF4B32"/>
    <w:rsid w:val="77F55EC0"/>
    <w:rsid w:val="7808174F"/>
    <w:rsid w:val="780B56E4"/>
    <w:rsid w:val="78362761"/>
    <w:rsid w:val="78462278"/>
    <w:rsid w:val="78482494"/>
    <w:rsid w:val="784D7AAA"/>
    <w:rsid w:val="785726D7"/>
    <w:rsid w:val="786077DD"/>
    <w:rsid w:val="7866291A"/>
    <w:rsid w:val="787C3EEC"/>
    <w:rsid w:val="78872FBC"/>
    <w:rsid w:val="788A6608"/>
    <w:rsid w:val="78964FAD"/>
    <w:rsid w:val="789B25C4"/>
    <w:rsid w:val="78A0407E"/>
    <w:rsid w:val="78A31478"/>
    <w:rsid w:val="78BD078C"/>
    <w:rsid w:val="78BE2756"/>
    <w:rsid w:val="78DD2BDC"/>
    <w:rsid w:val="78E026CC"/>
    <w:rsid w:val="78EF0997"/>
    <w:rsid w:val="790E2D96"/>
    <w:rsid w:val="79102FB2"/>
    <w:rsid w:val="79297BCF"/>
    <w:rsid w:val="79382508"/>
    <w:rsid w:val="79425135"/>
    <w:rsid w:val="794C38BE"/>
    <w:rsid w:val="79A4194C"/>
    <w:rsid w:val="79B55907"/>
    <w:rsid w:val="79C046BE"/>
    <w:rsid w:val="79C43D9C"/>
    <w:rsid w:val="79CB0C87"/>
    <w:rsid w:val="79D0629D"/>
    <w:rsid w:val="79DC2E94"/>
    <w:rsid w:val="79E81839"/>
    <w:rsid w:val="79EB1329"/>
    <w:rsid w:val="79ED50A1"/>
    <w:rsid w:val="79ED6E4F"/>
    <w:rsid w:val="7A081EDB"/>
    <w:rsid w:val="7A13262E"/>
    <w:rsid w:val="7A1940E8"/>
    <w:rsid w:val="7A344A7E"/>
    <w:rsid w:val="7A613399"/>
    <w:rsid w:val="7A6730A5"/>
    <w:rsid w:val="7A7E03EF"/>
    <w:rsid w:val="7A8C48BA"/>
    <w:rsid w:val="7A8D0632"/>
    <w:rsid w:val="7A9419C0"/>
    <w:rsid w:val="7A9814B1"/>
    <w:rsid w:val="7A9D6AC7"/>
    <w:rsid w:val="7A9E45ED"/>
    <w:rsid w:val="7AA928F4"/>
    <w:rsid w:val="7AAF2356"/>
    <w:rsid w:val="7ABB519F"/>
    <w:rsid w:val="7AC1208A"/>
    <w:rsid w:val="7AC43368"/>
    <w:rsid w:val="7AD93877"/>
    <w:rsid w:val="7AEA338E"/>
    <w:rsid w:val="7AEF309B"/>
    <w:rsid w:val="7AF16E13"/>
    <w:rsid w:val="7AF67F85"/>
    <w:rsid w:val="7AF846E1"/>
    <w:rsid w:val="7AFE508C"/>
    <w:rsid w:val="7AFE6E3A"/>
    <w:rsid w:val="7B0F1047"/>
    <w:rsid w:val="7B14665D"/>
    <w:rsid w:val="7B152B01"/>
    <w:rsid w:val="7B2965AD"/>
    <w:rsid w:val="7B2A40D3"/>
    <w:rsid w:val="7B2C7E4B"/>
    <w:rsid w:val="7B334D35"/>
    <w:rsid w:val="7B542EFE"/>
    <w:rsid w:val="7B6018A2"/>
    <w:rsid w:val="7B6C0247"/>
    <w:rsid w:val="7B7F61CD"/>
    <w:rsid w:val="7B845591"/>
    <w:rsid w:val="7B8A691F"/>
    <w:rsid w:val="7B931C78"/>
    <w:rsid w:val="7B9A6B62"/>
    <w:rsid w:val="7BA619AB"/>
    <w:rsid w:val="7BB340C8"/>
    <w:rsid w:val="7BCE4A5E"/>
    <w:rsid w:val="7BD5403F"/>
    <w:rsid w:val="7BD81D81"/>
    <w:rsid w:val="7BE67FFA"/>
    <w:rsid w:val="7BF24BF0"/>
    <w:rsid w:val="7BF30969"/>
    <w:rsid w:val="7C142DB9"/>
    <w:rsid w:val="7C280612"/>
    <w:rsid w:val="7C2A7000"/>
    <w:rsid w:val="7C2D3E7B"/>
    <w:rsid w:val="7C413482"/>
    <w:rsid w:val="7C442F72"/>
    <w:rsid w:val="7C556F2D"/>
    <w:rsid w:val="7C587089"/>
    <w:rsid w:val="7C5E4034"/>
    <w:rsid w:val="7C686C61"/>
    <w:rsid w:val="7C705B15"/>
    <w:rsid w:val="7C914409"/>
    <w:rsid w:val="7C9A4F8D"/>
    <w:rsid w:val="7CC16371"/>
    <w:rsid w:val="7CC3658D"/>
    <w:rsid w:val="7CCA791B"/>
    <w:rsid w:val="7CCD740C"/>
    <w:rsid w:val="7CD04D2E"/>
    <w:rsid w:val="7CD97B5E"/>
    <w:rsid w:val="7CE24C65"/>
    <w:rsid w:val="7CF27491"/>
    <w:rsid w:val="7D060228"/>
    <w:rsid w:val="7D133070"/>
    <w:rsid w:val="7D380D29"/>
    <w:rsid w:val="7D4F18A7"/>
    <w:rsid w:val="7D562F5D"/>
    <w:rsid w:val="7D5F62B6"/>
    <w:rsid w:val="7D60202E"/>
    <w:rsid w:val="7D621902"/>
    <w:rsid w:val="7D6531A0"/>
    <w:rsid w:val="7D6E02A7"/>
    <w:rsid w:val="7D7B29C4"/>
    <w:rsid w:val="7D7B4E65"/>
    <w:rsid w:val="7D831878"/>
    <w:rsid w:val="7D847ACA"/>
    <w:rsid w:val="7DBB54B6"/>
    <w:rsid w:val="7DBD4D8A"/>
    <w:rsid w:val="7DBF0B02"/>
    <w:rsid w:val="7DD547CA"/>
    <w:rsid w:val="7DF06F0E"/>
    <w:rsid w:val="7DFD162B"/>
    <w:rsid w:val="7E01111B"/>
    <w:rsid w:val="7E064983"/>
    <w:rsid w:val="7E176B90"/>
    <w:rsid w:val="7E3F39F1"/>
    <w:rsid w:val="7E4201FC"/>
    <w:rsid w:val="7E505BFE"/>
    <w:rsid w:val="7E5751DF"/>
    <w:rsid w:val="7E6D67B0"/>
    <w:rsid w:val="7E837D82"/>
    <w:rsid w:val="7E843AFA"/>
    <w:rsid w:val="7E8F2BCB"/>
    <w:rsid w:val="7EB919F5"/>
    <w:rsid w:val="7EC00FD6"/>
    <w:rsid w:val="7EC30AC6"/>
    <w:rsid w:val="7EC9775F"/>
    <w:rsid w:val="7EFE1AFE"/>
    <w:rsid w:val="7F0013D2"/>
    <w:rsid w:val="7F0A04A3"/>
    <w:rsid w:val="7F2F1CB8"/>
    <w:rsid w:val="7F373353"/>
    <w:rsid w:val="7F405CB4"/>
    <w:rsid w:val="7F427C3D"/>
    <w:rsid w:val="7F4734A5"/>
    <w:rsid w:val="7F4C2E16"/>
    <w:rsid w:val="7F4F235A"/>
    <w:rsid w:val="7F4F5EB6"/>
    <w:rsid w:val="7F5954E9"/>
    <w:rsid w:val="7F6556D9"/>
    <w:rsid w:val="7F671451"/>
    <w:rsid w:val="7F73429A"/>
    <w:rsid w:val="7FA02BB5"/>
    <w:rsid w:val="7FAC3308"/>
    <w:rsid w:val="7FD0349B"/>
    <w:rsid w:val="7FD50AB1"/>
    <w:rsid w:val="7FDD34C2"/>
    <w:rsid w:val="7FE26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qFormat="1"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qFormat="1"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qFormat="1"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qFormat="1"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qFormat="1"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paragraph" w:styleId="2">
    <w:name w:val="heading 2"/>
    <w:basedOn w:val="1"/>
    <w:next w:val="1"/>
    <w:semiHidden/>
    <w:unhideWhenUsed/>
    <w:qFormat/>
    <w:uiPriority w:val="9"/>
    <w:pPr>
      <w:spacing w:beforeAutospacing="1" w:afterAutospacing="1"/>
      <w:jc w:val="left"/>
      <w:outlineLvl w:val="1"/>
    </w:pPr>
    <w:rPr>
      <w:rFonts w:hint="eastAsia" w:ascii="宋体" w:hAnsi="宋体" w:eastAsia="宋体" w:cs="Times New Roman"/>
      <w:b/>
      <w:bCs/>
      <w:kern w:val="0"/>
      <w:sz w:val="36"/>
      <w:szCs w:val="36"/>
    </w:rPr>
  </w:style>
  <w:style w:type="paragraph" w:styleId="3">
    <w:name w:val="heading 3"/>
    <w:basedOn w:val="1"/>
    <w:next w:val="1"/>
    <w:semiHidden/>
    <w:unhideWhenUsed/>
    <w:qFormat/>
    <w:uiPriority w:val="9"/>
    <w:pPr>
      <w:spacing w:beforeAutospacing="1" w:afterAutospacing="1"/>
      <w:jc w:val="left"/>
      <w:outlineLvl w:val="2"/>
    </w:pPr>
    <w:rPr>
      <w:rFonts w:hint="eastAsia" w:ascii="宋体" w:hAnsi="宋体" w:eastAsia="宋体" w:cs="Times New Roman"/>
      <w:b/>
      <w:bCs/>
      <w:kern w:val="0"/>
      <w:sz w:val="27"/>
      <w:szCs w:val="27"/>
    </w:rPr>
  </w:style>
  <w:style w:type="character" w:default="1" w:styleId="17">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Balloon Text"/>
    <w:basedOn w:val="1"/>
    <w:link w:val="34"/>
    <w:autoRedefine/>
    <w:unhideWhenUsed/>
    <w:qFormat/>
    <w:uiPriority w:val="99"/>
    <w:rPr>
      <w:sz w:val="18"/>
      <w:szCs w:val="18"/>
    </w:rPr>
  </w:style>
  <w:style w:type="paragraph" w:styleId="5">
    <w:name w:val="footer"/>
    <w:basedOn w:val="1"/>
    <w:link w:val="31"/>
    <w:unhideWhenUsed/>
    <w:qFormat/>
    <w:uiPriority w:val="99"/>
    <w:pPr>
      <w:tabs>
        <w:tab w:val="center" w:pos="4153"/>
        <w:tab w:val="right" w:pos="8306"/>
      </w:tabs>
      <w:snapToGrid w:val="0"/>
      <w:jc w:val="left"/>
    </w:pPr>
    <w:rPr>
      <w:sz w:val="18"/>
      <w:szCs w:val="18"/>
    </w:rPr>
  </w:style>
  <w:style w:type="paragraph" w:styleId="6">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spacing w:beforeAutospacing="1" w:afterAutospacing="1"/>
      <w:jc w:val="left"/>
    </w:pPr>
    <w:rPr>
      <w:rFonts w:cs="Times New Roman"/>
      <w:kern w:val="0"/>
      <w:sz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0">
    <w:name w:val="Medium Grid 3"/>
    <w:basedOn w:val="8"/>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C0C0C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000000"/>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000000"/>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000000"/>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000000"/>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80808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808080"/>
      </w:tcPr>
    </w:tblStylePr>
  </w:style>
  <w:style w:type="table" w:styleId="11">
    <w:name w:val="Medium Grid 3 Accent 1"/>
    <w:basedOn w:val="8"/>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3DFEE"/>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F81B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F81B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F81B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F81B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7BFDE"/>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7BFDE"/>
      </w:tcPr>
    </w:tblStylePr>
  </w:style>
  <w:style w:type="table" w:styleId="12">
    <w:name w:val="Medium Grid 3 Accent 2"/>
    <w:basedOn w:val="8"/>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FD3D2"/>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C0504D"/>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C0504D"/>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C0504D"/>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C0504D"/>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DFA7A6"/>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DFA7A6"/>
      </w:tcPr>
    </w:tblStylePr>
  </w:style>
  <w:style w:type="table" w:styleId="13">
    <w:name w:val="Medium Grid 3 Accent 3"/>
    <w:basedOn w:val="8"/>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E6EED5"/>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9BBB59"/>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9BBB59"/>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9BBB59"/>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9BBB59"/>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CDDDAC"/>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CDDDAC"/>
      </w:tcPr>
    </w:tblStylePr>
  </w:style>
  <w:style w:type="table" w:styleId="14">
    <w:name w:val="Medium Grid 3 Accent 4"/>
    <w:basedOn w:val="8"/>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FD8E8"/>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8064A2"/>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8064A2"/>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8064A2"/>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8064A2"/>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BFB1D0"/>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BFB1D0"/>
      </w:tcPr>
    </w:tblStylePr>
  </w:style>
  <w:style w:type="table" w:styleId="15">
    <w:name w:val="Medium Grid 3 Accent 5"/>
    <w:basedOn w:val="8"/>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D2EAF1"/>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4BACC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4BACC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4BACC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4BACC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A5D5E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A5D5E2"/>
      </w:tcPr>
    </w:tblStylePr>
  </w:style>
  <w:style w:type="table" w:styleId="16">
    <w:name w:val="Medium Grid 3 Accent 6"/>
    <w:basedOn w:val="8"/>
    <w:qFormat/>
    <w:uiPriority w:val="69"/>
    <w:tblPr>
      <w:tblBorders>
        <w:top w:val="single" w:color="CCE8CF" w:sz="8" w:space="0"/>
        <w:left w:val="single" w:color="CCE8CF" w:sz="8" w:space="0"/>
        <w:bottom w:val="single" w:color="CCE8CF" w:sz="8" w:space="0"/>
        <w:right w:val="single" w:color="CCE8CF" w:sz="8" w:space="0"/>
        <w:insideH w:val="single" w:color="CCE8CF" w:sz="6" w:space="0"/>
        <w:insideV w:val="single" w:color="CCE8CF" w:sz="6" w:space="0"/>
      </w:tblBorders>
    </w:tblPr>
    <w:tcPr>
      <w:shd w:val="clear" w:color="auto" w:fill="FDE4D0"/>
    </w:tcPr>
    <w:tblStylePr w:type="firstRow">
      <w:rPr>
        <w:b/>
        <w:bCs/>
        <w:i w:val="0"/>
        <w:iCs w:val="0"/>
        <w:color w:val="CCE8CF"/>
      </w:rPr>
      <w:tblPr/>
      <w:tcPr>
        <w:tcBorders>
          <w:top w:val="single" w:color="CCE8CF" w:sz="8" w:space="0"/>
          <w:left w:val="single" w:color="CCE8CF" w:sz="8" w:space="0"/>
          <w:bottom w:val="single" w:color="CCE8CF" w:sz="24" w:space="0"/>
          <w:right w:val="single" w:color="CCE8CF" w:sz="8" w:space="0"/>
          <w:insideH w:val="nil"/>
          <w:insideV w:val="single" w:sz="8" w:space="0"/>
        </w:tcBorders>
        <w:shd w:val="clear" w:color="auto" w:fill="F79646"/>
      </w:tcPr>
    </w:tblStylePr>
    <w:tblStylePr w:type="lastRow">
      <w:rPr>
        <w:b/>
        <w:bCs/>
        <w:i w:val="0"/>
        <w:iCs w:val="0"/>
        <w:color w:val="CCE8CF"/>
      </w:rPr>
      <w:tblPr/>
      <w:tcPr>
        <w:tcBorders>
          <w:top w:val="single" w:color="CCE8CF" w:sz="24" w:space="0"/>
          <w:left w:val="single" w:color="CCE8CF" w:sz="8" w:space="0"/>
          <w:bottom w:val="single" w:color="CCE8CF" w:sz="8" w:space="0"/>
          <w:right w:val="single" w:color="CCE8CF" w:sz="8" w:space="0"/>
          <w:insideH w:val="nil"/>
          <w:insideV w:val="single" w:sz="8" w:space="0"/>
        </w:tcBorders>
        <w:shd w:val="clear" w:color="auto" w:fill="F79646"/>
      </w:tcPr>
    </w:tblStylePr>
    <w:tblStylePr w:type="firstCol">
      <w:rPr>
        <w:b/>
        <w:bCs/>
        <w:i w:val="0"/>
        <w:iCs w:val="0"/>
        <w:color w:val="CCE8CF"/>
      </w:rPr>
      <w:tblPr/>
      <w:tcPr>
        <w:tcBorders>
          <w:left w:val="single" w:color="CCE8CF" w:sz="8" w:space="0"/>
          <w:right w:val="single" w:color="CCE8CF" w:sz="24" w:space="0"/>
          <w:insideH w:val="nil"/>
          <w:insideV w:val="nil"/>
        </w:tcBorders>
        <w:shd w:val="clear" w:color="auto" w:fill="F79646"/>
      </w:tcPr>
    </w:tblStylePr>
    <w:tblStylePr w:type="lastCol">
      <w:rPr>
        <w:b/>
        <w:bCs/>
        <w:i w:val="0"/>
        <w:iCs w:val="0"/>
        <w:color w:val="CCE8CF"/>
      </w:rPr>
      <w:tblPr/>
      <w:tcPr>
        <w:tcBorders>
          <w:top w:val="nil"/>
          <w:left w:val="single" w:color="CCE8CF" w:sz="24" w:space="0"/>
          <w:bottom w:val="nil"/>
          <w:right w:val="nil"/>
          <w:insideH w:val="nil"/>
          <w:insideV w:val="nil"/>
        </w:tcBorders>
        <w:shd w:val="clear" w:color="auto" w:fill="F79646"/>
      </w:tcPr>
    </w:tblStylePr>
    <w:tblStylePr w:type="band1Vert">
      <w:tblPr/>
      <w:tcPr>
        <w:tcBorders>
          <w:top w:val="single" w:color="CCE8CF" w:sz="8" w:space="0"/>
          <w:left w:val="single" w:color="CCE8CF" w:sz="8" w:space="0"/>
          <w:bottom w:val="single" w:color="CCE8CF" w:sz="8" w:space="0"/>
          <w:right w:val="single" w:color="CCE8CF" w:sz="8" w:space="0"/>
          <w:insideH w:val="nil"/>
          <w:insideV w:val="nil"/>
        </w:tcBorders>
        <w:shd w:val="clear" w:color="auto" w:fill="FBCAA2"/>
      </w:tcPr>
    </w:tblStylePr>
    <w:tblStylePr w:type="band1Horz">
      <w:tblPr/>
      <w:tcPr>
        <w:tcBorders>
          <w:top w:val="single" w:color="CCE8CF" w:sz="8" w:space="0"/>
          <w:left w:val="single" w:color="CCE8CF" w:sz="8" w:space="0"/>
          <w:bottom w:val="single" w:color="CCE8CF" w:sz="8" w:space="0"/>
          <w:right w:val="single" w:color="CCE8CF" w:sz="8" w:space="0"/>
          <w:insideH w:val="single" w:sz="8" w:space="0"/>
          <w:insideV w:val="single" w:sz="8" w:space="0"/>
        </w:tcBorders>
        <w:shd w:val="clear" w:color="auto" w:fill="FBCAA2"/>
      </w:tcPr>
    </w:tblStylePr>
  </w:style>
  <w:style w:type="character" w:styleId="18">
    <w:name w:val="Strong"/>
    <w:basedOn w:val="17"/>
    <w:qFormat/>
    <w:uiPriority w:val="22"/>
    <w:rPr>
      <w:b/>
      <w:bCs/>
    </w:rPr>
  </w:style>
  <w:style w:type="character" w:styleId="19">
    <w:name w:val="Emphasis"/>
    <w:basedOn w:val="17"/>
    <w:qFormat/>
    <w:uiPriority w:val="20"/>
    <w:rPr>
      <w:i/>
      <w:iCs/>
    </w:rPr>
  </w:style>
  <w:style w:type="character" w:styleId="20">
    <w:name w:val="Hyperlink"/>
    <w:basedOn w:val="17"/>
    <w:qFormat/>
    <w:uiPriority w:val="99"/>
    <w:rPr>
      <w:color w:val="0000FF"/>
      <w:u w:val="single"/>
    </w:rPr>
  </w:style>
  <w:style w:type="paragraph" w:customStyle="1" w:styleId="21">
    <w:name w:val="一级条标题"/>
    <w:next w:val="22"/>
    <w:link w:val="32"/>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22">
    <w:name w:val="段"/>
    <w:link w:val="29"/>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23">
    <w:name w:val="章标题"/>
    <w:next w:val="1"/>
    <w:qFormat/>
    <w:uiPriority w:val="99"/>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24">
    <w:name w:val="二级条标题"/>
    <w:basedOn w:val="21"/>
    <w:next w:val="1"/>
    <w:qFormat/>
    <w:uiPriority w:val="0"/>
    <w:pPr>
      <w:numPr>
        <w:ilvl w:val="2"/>
        <w:numId w:val="0"/>
      </w:numPr>
      <w:spacing w:before="50" w:after="50"/>
      <w:outlineLvl w:val="3"/>
    </w:pPr>
  </w:style>
  <w:style w:type="paragraph" w:customStyle="1" w:styleId="25">
    <w:name w:val="三级条标题"/>
    <w:basedOn w:val="24"/>
    <w:next w:val="1"/>
    <w:qFormat/>
    <w:uiPriority w:val="0"/>
    <w:pPr>
      <w:numPr>
        <w:ilvl w:val="3"/>
      </w:numPr>
      <w:outlineLvl w:val="4"/>
    </w:pPr>
  </w:style>
  <w:style w:type="paragraph" w:customStyle="1" w:styleId="26">
    <w:name w:val="四级条标题"/>
    <w:basedOn w:val="25"/>
    <w:next w:val="1"/>
    <w:qFormat/>
    <w:uiPriority w:val="0"/>
    <w:pPr>
      <w:numPr>
        <w:ilvl w:val="4"/>
      </w:numPr>
      <w:outlineLvl w:val="5"/>
    </w:pPr>
  </w:style>
  <w:style w:type="paragraph" w:customStyle="1" w:styleId="27">
    <w:name w:val="五级条标题"/>
    <w:basedOn w:val="26"/>
    <w:next w:val="1"/>
    <w:qFormat/>
    <w:uiPriority w:val="0"/>
    <w:pPr>
      <w:numPr>
        <w:ilvl w:val="5"/>
      </w:numPr>
      <w:outlineLvl w:val="6"/>
    </w:pPr>
  </w:style>
  <w:style w:type="paragraph" w:customStyle="1" w:styleId="28">
    <w:name w:val="列出段落1"/>
    <w:basedOn w:val="1"/>
    <w:qFormat/>
    <w:uiPriority w:val="34"/>
    <w:pPr>
      <w:ind w:firstLine="420" w:firstLineChars="200"/>
    </w:pPr>
  </w:style>
  <w:style w:type="character" w:customStyle="1" w:styleId="29">
    <w:name w:val="段 Char"/>
    <w:link w:val="22"/>
    <w:qFormat/>
    <w:uiPriority w:val="0"/>
    <w:rPr>
      <w:rFonts w:ascii="宋体" w:hAnsi="Times New Roman" w:eastAsia="宋体" w:cs="Times New Roman"/>
      <w:kern w:val="0"/>
      <w:szCs w:val="20"/>
    </w:rPr>
  </w:style>
  <w:style w:type="character" w:customStyle="1" w:styleId="30">
    <w:name w:val="页眉 字符"/>
    <w:basedOn w:val="17"/>
    <w:link w:val="6"/>
    <w:qFormat/>
    <w:uiPriority w:val="99"/>
    <w:rPr>
      <w:sz w:val="18"/>
      <w:szCs w:val="18"/>
    </w:rPr>
  </w:style>
  <w:style w:type="character" w:customStyle="1" w:styleId="31">
    <w:name w:val="页脚 字符"/>
    <w:basedOn w:val="17"/>
    <w:link w:val="5"/>
    <w:qFormat/>
    <w:uiPriority w:val="99"/>
    <w:rPr>
      <w:sz w:val="18"/>
      <w:szCs w:val="18"/>
    </w:rPr>
  </w:style>
  <w:style w:type="character" w:customStyle="1" w:styleId="32">
    <w:name w:val="一级条标题 Char"/>
    <w:link w:val="21"/>
    <w:qFormat/>
    <w:uiPriority w:val="0"/>
    <w:rPr>
      <w:rFonts w:ascii="黑体" w:hAnsi="Times New Roman" w:eastAsia="黑体" w:cs="Times New Roman"/>
      <w:kern w:val="0"/>
      <w:szCs w:val="21"/>
    </w:rPr>
  </w:style>
  <w:style w:type="paragraph" w:customStyle="1" w:styleId="3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character" w:customStyle="1" w:styleId="34">
    <w:name w:val="批注框文本 字符"/>
    <w:basedOn w:val="17"/>
    <w:link w:val="4"/>
    <w:semiHidden/>
    <w:qFormat/>
    <w:uiPriority w:val="99"/>
    <w:rPr>
      <w:rFonts w:ascii="等线" w:hAnsi="等线" w:eastAsia="等线" w:cs="宋体"/>
      <w:kern w:val="2"/>
      <w:sz w:val="18"/>
      <w:szCs w:val="18"/>
    </w:rPr>
  </w:style>
  <w:style w:type="paragraph" w:customStyle="1" w:styleId="35">
    <w:name w:val="标准文件_段"/>
    <w:link w:val="36"/>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character" w:customStyle="1" w:styleId="36">
    <w:name w:val="标准文件_段 Char"/>
    <w:link w:val="35"/>
    <w:autoRedefine/>
    <w:qFormat/>
    <w:uiPriority w:val="0"/>
    <w:rPr>
      <w:rFonts w:ascii="宋体"/>
      <w:sz w:val="21"/>
    </w:rPr>
  </w:style>
  <w:style w:type="paragraph" w:customStyle="1" w:styleId="37">
    <w:name w:val="标准文件_二级条标题"/>
    <w:next w:val="35"/>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38">
    <w:name w:val="标准文件_三级条标题"/>
    <w:basedOn w:val="1"/>
    <w:next w:val="35"/>
    <w:autoRedefine/>
    <w:qFormat/>
    <w:uiPriority w:val="0"/>
    <w:pPr>
      <w:widowControl/>
      <w:numPr>
        <w:ilvl w:val="4"/>
        <w:numId w:val="2"/>
      </w:numPr>
      <w:adjustRightInd w:val="0"/>
      <w:spacing w:before="50" w:beforeLines="50" w:after="50" w:afterLines="50" w:line="400" w:lineRule="exact"/>
      <w:outlineLvl w:val="3"/>
    </w:pPr>
    <w:rPr>
      <w:rFonts w:ascii="黑体" w:hAnsi="Calibri" w:eastAsia="黑体" w:cs="Times New Roman"/>
      <w:szCs w:val="20"/>
    </w:rPr>
  </w:style>
  <w:style w:type="paragraph" w:customStyle="1" w:styleId="39">
    <w:name w:val="标准文件_四级条标题"/>
    <w:next w:val="35"/>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paragraph" w:customStyle="1" w:styleId="40">
    <w:name w:val="标准文件_五级条标题"/>
    <w:next w:val="35"/>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41">
    <w:name w:val="标准文件_章标题"/>
    <w:next w:val="35"/>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42">
    <w:name w:val="标准文件_一级条标题"/>
    <w:basedOn w:val="1"/>
    <w:next w:val="35"/>
    <w:autoRedefine/>
    <w:qFormat/>
    <w:uiPriority w:val="0"/>
    <w:pPr>
      <w:numPr>
        <w:ilvl w:val="2"/>
        <w:numId w:val="2"/>
      </w:numPr>
      <w:adjustRightInd w:val="0"/>
      <w:spacing w:before="50" w:beforeLines="50" w:after="50" w:afterLines="50" w:line="400" w:lineRule="exact"/>
      <w:outlineLvl w:val="1"/>
    </w:pPr>
    <w:rPr>
      <w:rFonts w:ascii="黑体" w:hAnsi="Calibri" w:eastAsia="黑体" w:cs="Times New Roman"/>
      <w:szCs w:val="20"/>
    </w:rPr>
  </w:style>
  <w:style w:type="paragraph" w:customStyle="1" w:styleId="43">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44">
    <w:name w:val="标准文件_一级无标题"/>
    <w:basedOn w:val="42"/>
    <w:autoRedefine/>
    <w:qFormat/>
    <w:uiPriority w:val="0"/>
    <w:pPr>
      <w:spacing w:before="0" w:beforeLines="0" w:after="0" w:afterLines="0"/>
      <w:outlineLvl w:val="9"/>
    </w:pPr>
    <w:rPr>
      <w:rFonts w:ascii="宋体" w:eastAsia="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10</Pages>
  <Words>6540</Words>
  <Characters>7051</Characters>
  <Lines>54</Lines>
  <Paragraphs>15</Paragraphs>
  <TotalTime>80</TotalTime>
  <ScaleCrop>false</ScaleCrop>
  <LinksUpToDate>false</LinksUpToDate>
  <CharactersWithSpaces>7308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2024-03-26T23:40:00Z</dcterms:created>
  <dc:creator>风轻无痕</dc:creator>
  <cp:lastModifiedBy>slby</cp:lastModifiedBy>
  <cp:lastPrinted>2023-10-25T02:40:00Z</cp:lastPrinted>
  <dcterms:modified xsi:type="dcterms:W3CDTF">2024-08-06T05:48:01Z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95B246BA21EB4356B991377D9E287753_13</vt:lpwstr>
  </property>
</Properties>
</file>