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bidi w:val="0"/>
        <w:snapToGrid/>
        <w:spacing w:beforeAutospacing="0" w:afterAutospacing="0" w:line="360" w:lineRule="auto"/>
        <w:ind w:firstLine="0" w:firstLineChars="0"/>
        <w:jc w:val="center"/>
        <w:textAlignment w:val="auto"/>
        <w:outlineLvl w:val="0"/>
        <w:rPr>
          <w:rFonts w:ascii="黑体" w:hAnsi="黑体" w:eastAsia="黑体"/>
          <w:bCs/>
          <w:color w:val="auto"/>
          <w:kern w:val="36"/>
          <w:sz w:val="28"/>
          <w:szCs w:val="28"/>
        </w:rPr>
      </w:pPr>
      <w:bookmarkStart w:id="0" w:name="OLE_LINK4"/>
      <w:r>
        <w:rPr>
          <w:rFonts w:hint="eastAsia" w:ascii="黑体" w:hAnsi="黑体" w:eastAsia="黑体"/>
          <w:bCs/>
          <w:color w:val="auto"/>
          <w:kern w:val="36"/>
          <w:sz w:val="28"/>
          <w:szCs w:val="28"/>
        </w:rPr>
        <w:t>长春市地方标准</w:t>
      </w:r>
    </w:p>
    <w:p>
      <w:pPr>
        <w:keepNext w:val="0"/>
        <w:keepLines w:val="0"/>
        <w:pageBreakBefore w:val="0"/>
        <w:widowControl/>
        <w:kinsoku/>
        <w:wordWrap/>
        <w:overflowPunct/>
        <w:topLinePunct w:val="0"/>
        <w:bidi w:val="0"/>
        <w:snapToGrid/>
        <w:spacing w:beforeAutospacing="0" w:afterAutospacing="0" w:line="360" w:lineRule="auto"/>
        <w:jc w:val="center"/>
        <w:textAlignment w:val="auto"/>
        <w:outlineLvl w:val="0"/>
        <w:rPr>
          <w:rFonts w:hint="eastAsia" w:ascii="黑体" w:hAnsi="黑体" w:eastAsia="黑体"/>
          <w:bCs/>
          <w:color w:val="auto"/>
          <w:kern w:val="36"/>
          <w:sz w:val="28"/>
          <w:szCs w:val="28"/>
        </w:rPr>
      </w:pPr>
      <w:r>
        <w:rPr>
          <w:rFonts w:hint="eastAsia" w:ascii="黑体" w:hAnsi="黑体" w:eastAsia="黑体"/>
          <w:bCs/>
          <w:color w:val="auto"/>
          <w:kern w:val="36"/>
          <w:sz w:val="28"/>
          <w:szCs w:val="28"/>
          <w:lang w:eastAsia="zh-CN"/>
        </w:rPr>
        <w:t>《</w:t>
      </w:r>
      <w:r>
        <w:rPr>
          <w:rFonts w:hint="eastAsia" w:ascii="黑体" w:hAnsi="黑体" w:eastAsia="黑体"/>
          <w:bCs/>
          <w:color w:val="auto"/>
          <w:kern w:val="36"/>
          <w:sz w:val="28"/>
          <w:szCs w:val="28"/>
        </w:rPr>
        <w:t>肉牛牛舍建设规范 第2部分：种公牛</w:t>
      </w:r>
      <w:r>
        <w:rPr>
          <w:rFonts w:hint="eastAsia" w:ascii="黑体" w:hAnsi="黑体" w:eastAsia="黑体"/>
          <w:bCs/>
          <w:color w:val="auto"/>
          <w:kern w:val="36"/>
          <w:sz w:val="28"/>
          <w:szCs w:val="28"/>
          <w:lang w:eastAsia="zh-CN"/>
        </w:rPr>
        <w:t>》</w:t>
      </w:r>
    </w:p>
    <w:p>
      <w:pPr>
        <w:keepNext w:val="0"/>
        <w:keepLines w:val="0"/>
        <w:pageBreakBefore w:val="0"/>
        <w:widowControl/>
        <w:kinsoku/>
        <w:wordWrap/>
        <w:overflowPunct/>
        <w:topLinePunct w:val="0"/>
        <w:bidi w:val="0"/>
        <w:snapToGrid/>
        <w:spacing w:beforeAutospacing="0" w:afterAutospacing="0" w:line="360" w:lineRule="auto"/>
        <w:jc w:val="center"/>
        <w:textAlignment w:val="auto"/>
        <w:outlineLvl w:val="0"/>
        <w:rPr>
          <w:rFonts w:ascii="黑体" w:hAnsi="黑体" w:eastAsia="黑体"/>
          <w:bCs/>
          <w:color w:val="auto"/>
          <w:kern w:val="36"/>
          <w:sz w:val="28"/>
          <w:szCs w:val="28"/>
        </w:rPr>
      </w:pPr>
      <w:r>
        <w:rPr>
          <w:rFonts w:hint="eastAsia" w:ascii="黑体" w:hAnsi="黑体" w:eastAsia="黑体"/>
          <w:bCs/>
          <w:color w:val="auto"/>
          <w:kern w:val="36"/>
          <w:sz w:val="28"/>
          <w:szCs w:val="28"/>
        </w:rPr>
        <w:t>编制说明</w:t>
      </w:r>
    </w:p>
    <w:bookmarkEnd w:id="0"/>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黑体" w:hAnsi="Times New Roman" w:eastAsia="黑体" w:cs="黑体"/>
          <w:color w:val="auto"/>
          <w:kern w:val="0"/>
          <w:szCs w:val="21"/>
        </w:rPr>
        <w:t>一、工作简况</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（一）任务来源</w:t>
      </w:r>
    </w:p>
    <w:p>
      <w:pPr>
        <w:keepNext w:val="0"/>
        <w:keepLines w:val="0"/>
        <w:pageBreakBefore w:val="0"/>
        <w:widowControl/>
        <w:numPr>
          <w:ilvl w:val="-1"/>
          <w:numId w:val="0"/>
        </w:numPr>
        <w:kinsoku/>
        <w:wordWrap/>
        <w:overflowPunct/>
        <w:topLinePunct w:val="0"/>
        <w:autoSpaceDE/>
        <w:autoSpaceDN/>
        <w:bidi w:val="0"/>
        <w:adjustRightInd/>
        <w:snapToGrid/>
        <w:spacing w:before="0" w:beforeLines="-2147483648" w:after="0" w:afterLines="-2147483648" w:line="240" w:lineRule="auto"/>
        <w:ind w:firstLine="0" w:firstLineChars="0"/>
        <w:jc w:val="left"/>
        <w:textAlignment w:val="auto"/>
        <w:outlineLvl w:val="9"/>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 xml:space="preserve">   本任务来源于长春市市场监督管理局《关于2024年度长春市地方标准立项指南的通知》，项目计划编号：DBXM10—2024，计划名称为：《肉牛牛舍建设规范 第2部分：种公牛》。</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（二）起草单位</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auto"/>
        <w:ind w:firstLine="420" w:firstLineChars="200"/>
        <w:jc w:val="both"/>
        <w:textAlignment w:val="auto"/>
        <w:outlineLvl w:val="9"/>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本标准由长春市畜牧总站、吉林农业科技学院、长春新牧科技有限公司、长春市标准研究院（长春市WTO/TBT咨询中心）共同起草。</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黑体" w:hAnsi="Times New Roman" w:eastAsia="黑体" w:cs="黑体"/>
          <w:color w:val="auto"/>
          <w:kern w:val="0"/>
          <w:szCs w:val="21"/>
        </w:rPr>
      </w:pPr>
      <w:r>
        <w:rPr>
          <w:rFonts w:hint="eastAsia" w:ascii="黑体" w:hAnsi="Times New Roman" w:eastAsia="黑体" w:cs="黑体"/>
          <w:color w:val="auto"/>
          <w:kern w:val="0"/>
          <w:szCs w:val="21"/>
        </w:rPr>
        <w:t>二、制订标准的必要性、目的和意义</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bidi="ar-SA"/>
        </w:rPr>
        <w:t>（一）</w:t>
      </w:r>
      <w:r>
        <w:rPr>
          <w:rFonts w:hint="eastAsia" w:ascii="宋体" w:hAnsi="宋体" w:eastAsia="宋体" w:cs="宋体"/>
          <w:b w:val="0"/>
          <w:bCs w:val="0"/>
          <w:kern w:val="0"/>
          <w:sz w:val="21"/>
          <w:szCs w:val="21"/>
          <w:lang w:val="en-US" w:eastAsia="zh-CN"/>
        </w:rPr>
        <w:t>立项背景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1、标准化对象特性</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auto"/>
        <w:ind w:firstLine="420" w:firstLineChars="200"/>
        <w:jc w:val="both"/>
        <w:textAlignment w:val="auto"/>
        <w:outlineLvl w:val="9"/>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长春市地处吉林省中部，属温带季风气候，四季分明，冬季漫长寒冷，对牛舍建设有特殊要求，尤其是种公牛牛舍。种公牛是肉牛产业发展的基础，更是提供优良冻精的保障。种公牛舍建筑作为肉牛产业业发展的基础设施，在核心育种场、种公牛站、标准化肉牛养殖场建设中占据举足轻重的地位。良好种公牛牛舍为种公牛提供优良的生活环境条件和完善的动物福利，提高种公牛的生产效率，确保牛群遗传品质稳定，有效预防疾病的发生。同时可以节约饲养成本，</w:t>
      </w:r>
      <w:r>
        <w:rPr>
          <w:rFonts w:hint="default" w:ascii="宋体" w:hAnsi="宋体" w:eastAsia="宋体" w:cs="宋体"/>
          <w:kern w:val="0"/>
          <w:szCs w:val="21"/>
          <w:lang w:val="en-US" w:eastAsia="zh-CN"/>
        </w:rPr>
        <w:t>减少养殖生产全过程的能耗和污染物排放</w:t>
      </w:r>
      <w:r>
        <w:rPr>
          <w:rFonts w:hint="eastAsia" w:ascii="宋体" w:hAnsi="宋体" w:eastAsia="宋体" w:cs="宋体"/>
          <w:kern w:val="0"/>
          <w:szCs w:val="21"/>
          <w:lang w:val="en-US" w:eastAsia="zh-CN"/>
        </w:rPr>
        <w:t>。本标准制定，将规范新建种公牛牛舍，完善长春市肉牛产业标准体系，有效提高肉牛标准化、规模化、持续健康发展</w:t>
      </w:r>
      <w:r>
        <w:rPr>
          <w:rFonts w:hint="eastAsia" w:ascii="宋体" w:hAnsi="宋体" w:eastAsia="宋体" w:cs="宋体"/>
          <w:i w:val="0"/>
          <w:iCs w:val="0"/>
          <w:caps w:val="0"/>
          <w:color w:val="auto"/>
          <w:spacing w:val="0"/>
          <w:kern w:val="0"/>
          <w:sz w:val="21"/>
          <w:szCs w:val="21"/>
          <w:shd w:val="clear" w:fill="auto"/>
          <w:lang w:eastAsia="zh-CN"/>
        </w:rPr>
        <w:t>发挥重要作用。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2、产业背景</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随</w:t>
      </w:r>
      <w:r>
        <w:rPr>
          <w:rFonts w:hint="eastAsia" w:ascii="宋体" w:hAnsi="宋体" w:eastAsia="宋体" w:cs="宋体"/>
          <w:kern w:val="0"/>
          <w:szCs w:val="21"/>
          <w:lang w:val="en-US" w:eastAsia="zh-CN"/>
        </w:rPr>
        <w:t>着</w:t>
      </w:r>
      <w:r>
        <w:rPr>
          <w:rFonts w:hint="eastAsia" w:ascii="宋体" w:hAnsi="宋体" w:eastAsia="宋体" w:cs="宋体"/>
          <w:kern w:val="0"/>
          <w:szCs w:val="21"/>
        </w:rPr>
        <w:t>经济社会的</w:t>
      </w:r>
      <w:r>
        <w:rPr>
          <w:rFonts w:hint="eastAsia" w:ascii="宋体" w:hAnsi="宋体" w:eastAsia="宋体" w:cs="宋体"/>
          <w:kern w:val="0"/>
          <w:szCs w:val="21"/>
          <w:lang w:val="en-US" w:eastAsia="zh-CN"/>
        </w:rPr>
        <w:t>快速</w:t>
      </w:r>
      <w:r>
        <w:rPr>
          <w:rFonts w:hint="eastAsia" w:ascii="宋体" w:hAnsi="宋体" w:eastAsia="宋体" w:cs="宋体"/>
          <w:kern w:val="0"/>
          <w:szCs w:val="21"/>
        </w:rPr>
        <w:t>发展</w:t>
      </w:r>
      <w:r>
        <w:rPr>
          <w:rFonts w:hint="eastAsia" w:ascii="宋体" w:hAnsi="宋体" w:eastAsia="宋体" w:cs="宋体"/>
          <w:kern w:val="0"/>
          <w:szCs w:val="21"/>
          <w:lang w:eastAsia="zh-CN"/>
        </w:rPr>
        <w:t>，</w:t>
      </w:r>
      <w:r>
        <w:rPr>
          <w:rFonts w:hint="eastAsia" w:ascii="宋体" w:hAnsi="宋体" w:eastAsia="宋体" w:cs="宋体"/>
          <w:kern w:val="0"/>
          <w:szCs w:val="21"/>
        </w:rPr>
        <w:t>人们对于牛肉</w:t>
      </w:r>
      <w:r>
        <w:rPr>
          <w:rFonts w:hint="eastAsia" w:ascii="宋体" w:hAnsi="宋体" w:eastAsia="宋体" w:cs="宋体"/>
          <w:kern w:val="0"/>
          <w:szCs w:val="21"/>
          <w:lang w:val="en-US" w:eastAsia="zh-CN"/>
        </w:rPr>
        <w:t>及其制品的需求越来越大，促进了我国肉牛养殖业的可持续发展。同时随着规模化程度的提高和产业高质量发展的要求，发展肉牛规模养殖，推广养殖规范化、标准化生产，不仅是我国肉牛业发展进入新阶段后，面对新的发展机遇和挑战实施的重大技术措施，也是推动现代畜牧业产业化的重要举措。</w:t>
      </w:r>
      <w:r>
        <w:rPr>
          <w:rFonts w:hint="eastAsia" w:ascii="宋体" w:hAnsi="宋体" w:eastAsia="宋体" w:cs="宋体"/>
          <w:kern w:val="0"/>
          <w:szCs w:val="21"/>
        </w:rPr>
        <w:t>吉林省位于</w:t>
      </w:r>
      <w:r>
        <w:rPr>
          <w:rFonts w:hint="eastAsia" w:ascii="宋体" w:hAnsi="宋体" w:eastAsia="宋体" w:cs="宋体"/>
          <w:kern w:val="0"/>
          <w:szCs w:val="21"/>
          <w:lang w:val="en-US" w:eastAsia="zh-CN"/>
        </w:rPr>
        <w:t>世界</w:t>
      </w:r>
      <w:r>
        <w:rPr>
          <w:rFonts w:hint="eastAsia" w:ascii="宋体" w:hAnsi="宋体" w:eastAsia="宋体" w:cs="宋体"/>
          <w:kern w:val="0"/>
          <w:szCs w:val="21"/>
        </w:rPr>
        <w:t>黄金玉米带</w:t>
      </w:r>
      <w:r>
        <w:rPr>
          <w:rFonts w:hint="eastAsia" w:ascii="宋体" w:hAnsi="宋体" w:eastAsia="宋体" w:cs="宋体"/>
          <w:kern w:val="0"/>
          <w:szCs w:val="21"/>
          <w:lang w:eastAsia="zh-CN"/>
        </w:rPr>
        <w:t>，</w:t>
      </w:r>
      <w:r>
        <w:rPr>
          <w:rFonts w:hint="eastAsia" w:ascii="宋体" w:hAnsi="宋体" w:eastAsia="宋体" w:cs="宋体"/>
          <w:kern w:val="0"/>
          <w:szCs w:val="21"/>
        </w:rPr>
        <w:t>年产农作物秸秆4000多万吨，但长期以来玉米秸秆消化缺少出路，大多</w:t>
      </w:r>
      <w:r>
        <w:rPr>
          <w:rFonts w:hint="eastAsia" w:ascii="宋体" w:hAnsi="宋体" w:eastAsia="宋体" w:cs="宋体"/>
          <w:kern w:val="0"/>
          <w:szCs w:val="21"/>
          <w:lang w:val="en-US" w:eastAsia="zh-CN"/>
        </w:rPr>
        <w:t>在田间</w:t>
      </w:r>
      <w:r>
        <w:rPr>
          <w:rFonts w:hint="eastAsia" w:ascii="宋体" w:hAnsi="宋体" w:eastAsia="宋体" w:cs="宋体"/>
          <w:kern w:val="0"/>
          <w:szCs w:val="21"/>
        </w:rPr>
        <w:t>焚烧，造成了环境污染</w:t>
      </w:r>
      <w:r>
        <w:rPr>
          <w:rFonts w:hint="eastAsia" w:ascii="宋体" w:hAnsi="宋体" w:eastAsia="宋体" w:cs="宋体"/>
          <w:kern w:val="0"/>
          <w:szCs w:val="21"/>
          <w:lang w:val="en-US" w:eastAsia="zh-CN"/>
        </w:rPr>
        <w:t>和</w:t>
      </w:r>
      <w:r>
        <w:rPr>
          <w:rFonts w:hint="eastAsia" w:ascii="宋体" w:hAnsi="宋体" w:eastAsia="宋体" w:cs="宋体"/>
          <w:kern w:val="0"/>
          <w:szCs w:val="21"/>
        </w:rPr>
        <w:t>资源浪费。发展草食畜牧业，推进秸秆过腹还田循环利用，把秸秆转化为肉和奶，不仅可解决秸秆焚烧污染环境问题，还</w:t>
      </w:r>
      <w:r>
        <w:rPr>
          <w:rFonts w:hint="eastAsia" w:ascii="宋体" w:hAnsi="宋体" w:eastAsia="宋体" w:cs="宋体"/>
          <w:kern w:val="0"/>
          <w:szCs w:val="21"/>
          <w:lang w:val="en-US" w:eastAsia="zh-CN"/>
        </w:rPr>
        <w:t>能</w:t>
      </w:r>
      <w:r>
        <w:rPr>
          <w:rFonts w:hint="eastAsia" w:ascii="宋体" w:hAnsi="宋体" w:eastAsia="宋体" w:cs="宋体"/>
          <w:kern w:val="0"/>
          <w:szCs w:val="21"/>
        </w:rPr>
        <w:t>助力黑土地保护，是保障国家粮食安全的重要手段。</w:t>
      </w:r>
      <w:r>
        <w:rPr>
          <w:rFonts w:hint="eastAsia" w:ascii="宋体" w:hAnsi="宋体" w:eastAsia="宋体" w:cs="宋体"/>
          <w:kern w:val="0"/>
          <w:szCs w:val="21"/>
          <w:lang w:val="en-US" w:eastAsia="zh-CN"/>
        </w:rPr>
        <w:t>随着畜牧业规模化、集约化发展，肉牛养殖已经从传统牧业向现代牧业转变，从农村副业向乡村振兴主导产业转变。随着农村土地流转，专业分工细化，养殖主体正在养殖散户向家庭牧场和专业合作社转变。吉林省是全国优质肉牛的主产区，</w:t>
      </w:r>
      <w:r>
        <w:rPr>
          <w:rFonts w:hint="eastAsia" w:ascii="宋体" w:hAnsi="宋体" w:eastAsia="宋体" w:cs="宋体"/>
          <w:kern w:val="0"/>
          <w:szCs w:val="21"/>
        </w:rPr>
        <w:t>截止</w:t>
      </w:r>
      <w:r>
        <w:rPr>
          <w:rFonts w:hint="eastAsia" w:ascii="宋体" w:hAnsi="宋体" w:eastAsia="宋体" w:cs="宋体"/>
          <w:kern w:val="0"/>
          <w:szCs w:val="21"/>
          <w:lang w:val="en-US" w:eastAsia="zh-CN"/>
        </w:rPr>
        <w:t>到</w:t>
      </w:r>
      <w:r>
        <w:rPr>
          <w:rFonts w:hint="eastAsia" w:ascii="宋体" w:hAnsi="宋体" w:eastAsia="宋体" w:cs="宋体"/>
          <w:kern w:val="0"/>
          <w:szCs w:val="21"/>
        </w:rPr>
        <w:t>202</w:t>
      </w:r>
      <w:r>
        <w:rPr>
          <w:rFonts w:hint="eastAsia" w:ascii="宋体" w:hAnsi="宋体" w:eastAsia="宋体" w:cs="宋体"/>
          <w:kern w:val="0"/>
          <w:szCs w:val="21"/>
          <w:lang w:val="en-US" w:eastAsia="zh-CN"/>
        </w:rPr>
        <w:t>3</w:t>
      </w:r>
      <w:r>
        <w:rPr>
          <w:rFonts w:hint="eastAsia" w:ascii="宋体" w:hAnsi="宋体" w:eastAsia="宋体" w:cs="宋体"/>
          <w:kern w:val="0"/>
          <w:szCs w:val="21"/>
        </w:rPr>
        <w:t>年末</w:t>
      </w:r>
      <w:r>
        <w:rPr>
          <w:rFonts w:hint="eastAsia" w:ascii="宋体" w:hAnsi="宋体" w:eastAsia="宋体" w:cs="宋体"/>
          <w:kern w:val="0"/>
          <w:szCs w:val="21"/>
          <w:lang w:eastAsia="zh-CN"/>
        </w:rPr>
        <w:t>，</w:t>
      </w:r>
      <w:r>
        <w:rPr>
          <w:rFonts w:hint="eastAsia" w:ascii="宋体" w:hAnsi="宋体" w:eastAsia="宋体" w:cs="宋体"/>
          <w:kern w:val="0"/>
          <w:szCs w:val="21"/>
        </w:rPr>
        <w:t>全省肉牛</w:t>
      </w:r>
      <w:r>
        <w:rPr>
          <w:rFonts w:hint="eastAsia" w:ascii="宋体" w:hAnsi="宋体" w:eastAsia="宋体" w:cs="宋体"/>
          <w:kern w:val="0"/>
          <w:szCs w:val="21"/>
          <w:lang w:val="en-US" w:eastAsia="zh-CN"/>
        </w:rPr>
        <w:t>饲养量达到</w:t>
      </w:r>
      <w:r>
        <w:rPr>
          <w:rFonts w:hint="eastAsia" w:ascii="宋体" w:hAnsi="宋体" w:eastAsia="宋体" w:cs="宋体"/>
          <w:color w:val="auto"/>
          <w:kern w:val="0"/>
          <w:szCs w:val="21"/>
          <w:lang w:val="en-US" w:eastAsia="zh-CN"/>
        </w:rPr>
        <w:t>717.3</w:t>
      </w:r>
      <w:r>
        <w:rPr>
          <w:rFonts w:hint="eastAsia" w:ascii="宋体" w:hAnsi="宋体" w:eastAsia="宋体" w:cs="宋体"/>
          <w:kern w:val="0"/>
          <w:szCs w:val="21"/>
          <w:lang w:val="en-US" w:eastAsia="zh-CN"/>
        </w:rPr>
        <w:t>万头，增速位居东北三省第一位，千头以上养殖项目达211项，肉牛</w:t>
      </w:r>
      <w:r>
        <w:rPr>
          <w:rFonts w:hint="eastAsia" w:ascii="宋体" w:hAnsi="宋体" w:eastAsia="宋体" w:cs="宋体"/>
          <w:kern w:val="0"/>
          <w:szCs w:val="21"/>
        </w:rPr>
        <w:t>养殖的集约化经营水平</w:t>
      </w:r>
      <w:r>
        <w:rPr>
          <w:rFonts w:hint="eastAsia" w:ascii="宋体" w:hAnsi="宋体" w:eastAsia="宋体" w:cs="宋体"/>
          <w:kern w:val="0"/>
          <w:szCs w:val="21"/>
          <w:lang w:val="en-US" w:eastAsia="zh-CN"/>
        </w:rPr>
        <w:t>明显提高，同时对优良种公牛及精液的需求激增。目前吉林省拥有长春新牧科技有限公司、四平市兴牛牧业服务有限公司、吉林省德信生物工程有限公司、延边东兴种牛科技有限公司、双辽市润佳农牧业有限公司等5个国家级种公牛站、6个国家级和2个省级核心育种场、18个种牛场，种公牛养殖数量居全国前列。吉林德信生物工程有限公司、长春新牧科技有限公司和延边畜牧开发集团有限公司等3家种公牛养殖企业入选国家畜禽种业阵型企业。全国畜禽种业阵型企业肉牛企业共7家，我省3家，占42.9%，位居全国第一位。长春市是吉林省粮食的主产区、肉牛养殖的核心区、牛肉消费的主战场，发展肉牛产业优势明显，长春新牧科技有限公司，目前拟扩建新场，以满足种公牛的养殖需求。因此，在种公牛牛舍</w:t>
      </w:r>
      <w:r>
        <w:rPr>
          <w:rFonts w:hint="eastAsia" w:ascii="宋体" w:hAnsi="宋体" w:eastAsia="宋体" w:cs="宋体"/>
          <w:kern w:val="0"/>
          <w:szCs w:val="21"/>
        </w:rPr>
        <w:t>建设标准上需要进一步规范。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3、政策背景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i w:val="0"/>
          <w:iCs w:val="0"/>
          <w:caps w:val="0"/>
          <w:color w:val="auto"/>
          <w:spacing w:val="0"/>
          <w:kern w:val="0"/>
          <w:sz w:val="21"/>
          <w:szCs w:val="21"/>
          <w:shd w:val="clear" w:fill="auto"/>
          <w:lang w:eastAsia="zh-CN"/>
        </w:rPr>
      </w:pPr>
      <w:r>
        <w:rPr>
          <w:rFonts w:hint="eastAsia" w:ascii="宋体" w:hAnsi="宋体" w:eastAsia="宋体" w:cs="宋体"/>
          <w:kern w:val="0"/>
          <w:szCs w:val="21"/>
          <w:lang w:val="en-US" w:eastAsia="zh-CN"/>
        </w:rPr>
        <w:t>2</w:t>
      </w:r>
      <w:r>
        <w:rPr>
          <w:rFonts w:hint="eastAsia" w:ascii="宋体" w:hAnsi="宋体" w:eastAsia="宋体" w:cs="宋体"/>
          <w:kern w:val="0"/>
          <w:szCs w:val="21"/>
        </w:rPr>
        <w:t>020年6月22日，吉林省委十一届七次全会审议通过的《中共吉林省委关于集中力量补齐全面小康“三农”领域短板 提高粮食安全保障能力 率先实现农业现代化的决定》，明确提出“深入实施‘秸秆变肉’工程，加快发展肉牛等节粮食草型畜牧业”。随后的吉林省委十一届八次全会和省委农村工作会议明确提出，发挥畜牧业的中轴产业作用，启动</w:t>
      </w:r>
      <w:r>
        <w:rPr>
          <w:rFonts w:hint="eastAsia" w:ascii="宋体" w:hAnsi="宋体" w:eastAsia="宋体" w:cs="宋体"/>
          <w:kern w:val="0"/>
          <w:szCs w:val="21"/>
          <w:lang w:val="en-US" w:eastAsia="zh-CN"/>
        </w:rPr>
        <w:t>1000</w:t>
      </w:r>
      <w:r>
        <w:rPr>
          <w:rFonts w:hint="eastAsia" w:ascii="宋体" w:hAnsi="宋体" w:eastAsia="宋体" w:cs="宋体"/>
          <w:kern w:val="0"/>
          <w:szCs w:val="21"/>
        </w:rPr>
        <w:t>万头肉牛建设工程，建设承载粮食及副产物转化增值的畜牧大产业，明确出台硬招实招把肉牛产业做强做优做大，打造全国“大肉库”。</w:t>
      </w:r>
      <w:r>
        <w:rPr>
          <w:rFonts w:hint="eastAsia" w:ascii="宋体" w:hAnsi="宋体" w:eastAsia="宋体" w:cs="宋体"/>
          <w:kern w:val="0"/>
          <w:szCs w:val="21"/>
          <w:lang w:val="en-US" w:eastAsia="zh-CN"/>
        </w:rPr>
        <w:t>2021年，</w:t>
      </w:r>
      <w:r>
        <w:rPr>
          <w:rFonts w:hint="eastAsia" w:ascii="宋体" w:hAnsi="宋体" w:eastAsia="宋体" w:cs="宋体"/>
          <w:kern w:val="0"/>
          <w:szCs w:val="21"/>
        </w:rPr>
        <w:t>《吉林省人民政府办公厅关于实施“秸秆变肉”暨千万头肉牛建设工程的意见》（吉政办发〔2021〕39号）</w:t>
      </w:r>
      <w:r>
        <w:rPr>
          <w:rFonts w:hint="eastAsia" w:ascii="宋体" w:hAnsi="宋体" w:eastAsia="宋体" w:cs="宋体"/>
          <w:kern w:val="0"/>
          <w:szCs w:val="21"/>
          <w:lang w:eastAsia="zh-CN"/>
        </w:rPr>
        <w:t>，</w:t>
      </w:r>
      <w:r>
        <w:rPr>
          <w:rFonts w:hint="eastAsia" w:ascii="宋体" w:hAnsi="宋体" w:eastAsia="宋体" w:cs="宋体"/>
          <w:kern w:val="0"/>
          <w:szCs w:val="21"/>
        </w:rPr>
        <w:t>实施“秸秆变肉”暨千万头肉牛建设工程，是省委、省政府作出的重大决策部署，是实施“一主六双”高质量发展战略、打造万亿级农产品加工业和食品产业的必然要求，是构筑吉林农业发展新优势的必然选择，是全面实施乡村振兴战略，促进农业高质高效、农民富裕富足的重要途径。为加快推进工程实施，进一步做大做强肉牛产业</w:t>
      </w:r>
      <w:r>
        <w:rPr>
          <w:rFonts w:hint="eastAsia" w:ascii="宋体" w:hAnsi="宋体" w:eastAsia="宋体" w:cs="宋体"/>
          <w:kern w:val="0"/>
          <w:szCs w:val="21"/>
          <w:lang w:eastAsia="zh-CN"/>
        </w:rPr>
        <w:t>。立足小规模大群体，加快转变饲养方式，精准扶持中小养殖户，</w:t>
      </w:r>
      <w:r>
        <w:rPr>
          <w:rFonts w:hint="eastAsia" w:ascii="宋体" w:hAnsi="宋体" w:eastAsia="宋体" w:cs="宋体"/>
          <w:i w:val="0"/>
          <w:iCs w:val="0"/>
          <w:caps w:val="0"/>
          <w:color w:val="auto"/>
          <w:spacing w:val="0"/>
          <w:kern w:val="0"/>
          <w:sz w:val="21"/>
          <w:szCs w:val="21"/>
          <w:shd w:val="clear" w:fill="auto"/>
        </w:rPr>
        <w:t>着力推进规模化标准化养殖，全方位培育发展家庭养殖户、家庭牧场、养殖企业、养殖小区、养殖园区，形成小规模养殖与规模化养殖协调发展局面</w:t>
      </w:r>
      <w:r>
        <w:rPr>
          <w:rFonts w:hint="eastAsia" w:ascii="宋体" w:hAnsi="宋体" w:eastAsia="宋体" w:cs="宋体"/>
          <w:kern w:val="0"/>
          <w:szCs w:val="21"/>
          <w:lang w:val="en-US" w:eastAsia="zh-CN"/>
        </w:rPr>
        <w:t>。长春市制定</w:t>
      </w:r>
      <w:r>
        <w:rPr>
          <w:rFonts w:hint="eastAsia" w:ascii="宋体" w:hAnsi="宋体" w:eastAsia="宋体" w:cs="宋体"/>
          <w:b w:val="0"/>
          <w:bCs w:val="0"/>
          <w:i w:val="0"/>
          <w:iCs w:val="0"/>
          <w:caps w:val="0"/>
          <w:spacing w:val="0"/>
          <w:kern w:val="0"/>
          <w:sz w:val="21"/>
          <w:szCs w:val="21"/>
          <w:shd w:val="clear"/>
          <w:lang w:eastAsia="zh-CN"/>
        </w:rPr>
        <w:t>《</w:t>
      </w:r>
      <w:r>
        <w:rPr>
          <w:rFonts w:hint="eastAsia" w:ascii="宋体" w:hAnsi="宋体" w:eastAsia="宋体" w:cs="宋体"/>
          <w:b w:val="0"/>
          <w:bCs w:val="0"/>
          <w:i w:val="0"/>
          <w:iCs w:val="0"/>
          <w:caps w:val="0"/>
          <w:spacing w:val="0"/>
          <w:kern w:val="0"/>
          <w:sz w:val="21"/>
          <w:szCs w:val="21"/>
          <w:shd w:val="clear"/>
        </w:rPr>
        <w:t>推动肉牛产业高质量发展若干措施</w:t>
      </w:r>
      <w:r>
        <w:rPr>
          <w:rFonts w:hint="eastAsia" w:ascii="宋体" w:hAnsi="宋体" w:eastAsia="宋体" w:cs="宋体"/>
          <w:b w:val="0"/>
          <w:bCs w:val="0"/>
          <w:i w:val="0"/>
          <w:iCs w:val="0"/>
          <w:caps w:val="0"/>
          <w:spacing w:val="0"/>
          <w:kern w:val="0"/>
          <w:sz w:val="21"/>
          <w:szCs w:val="21"/>
          <w:shd w:val="clear"/>
          <w:lang w:eastAsia="zh-CN"/>
        </w:rPr>
        <w:t>》（</w:t>
      </w:r>
      <w:r>
        <w:rPr>
          <w:rFonts w:hint="eastAsia" w:ascii="宋体" w:hAnsi="宋体" w:eastAsia="宋体" w:cs="宋体"/>
          <w:i w:val="0"/>
          <w:iCs w:val="0"/>
          <w:caps w:val="0"/>
          <w:spacing w:val="0"/>
          <w:kern w:val="0"/>
          <w:sz w:val="21"/>
          <w:szCs w:val="21"/>
          <w:shd w:val="clear"/>
        </w:rPr>
        <w:t>长府办规〔2022〕9号</w:t>
      </w:r>
      <w:r>
        <w:rPr>
          <w:rFonts w:hint="eastAsia" w:ascii="宋体" w:hAnsi="宋体" w:eastAsia="宋体" w:cs="宋体"/>
          <w:b w:val="0"/>
          <w:bCs w:val="0"/>
          <w:i w:val="0"/>
          <w:iCs w:val="0"/>
          <w:caps w:val="0"/>
          <w:spacing w:val="0"/>
          <w:kern w:val="0"/>
          <w:sz w:val="21"/>
          <w:szCs w:val="21"/>
          <w:shd w:val="clear"/>
          <w:lang w:eastAsia="zh-CN"/>
        </w:rPr>
        <w:t>），</w:t>
      </w:r>
      <w:r>
        <w:rPr>
          <w:rFonts w:hint="eastAsia" w:ascii="宋体" w:hAnsi="宋体" w:eastAsia="宋体" w:cs="宋体"/>
          <w:i w:val="0"/>
          <w:iCs w:val="0"/>
          <w:caps w:val="0"/>
          <w:spacing w:val="0"/>
          <w:kern w:val="0"/>
          <w:sz w:val="21"/>
          <w:szCs w:val="21"/>
          <w:shd w:val="clear"/>
          <w:lang w:val="en-US" w:eastAsia="zh-CN"/>
        </w:rPr>
        <w:t>提出把</w:t>
      </w:r>
      <w:r>
        <w:rPr>
          <w:rFonts w:hint="eastAsia" w:ascii="宋体" w:hAnsi="宋体" w:eastAsia="宋体" w:cs="宋体"/>
          <w:i w:val="0"/>
          <w:iCs w:val="0"/>
          <w:caps w:val="0"/>
          <w:color w:val="auto"/>
          <w:spacing w:val="0"/>
          <w:kern w:val="0"/>
          <w:sz w:val="21"/>
          <w:szCs w:val="21"/>
          <w:shd w:val="clear" w:fill="auto"/>
        </w:rPr>
        <w:t>“秸秆变肉”暨三百万头肉牛工程打造成乡村振兴和富民强市的标志性工程，</w:t>
      </w:r>
      <w:r>
        <w:rPr>
          <w:rFonts w:hint="eastAsia" w:ascii="宋体" w:hAnsi="宋体" w:eastAsia="宋体" w:cs="宋体"/>
          <w:i w:val="0"/>
          <w:iCs w:val="0"/>
          <w:caps w:val="0"/>
          <w:color w:val="auto"/>
          <w:spacing w:val="0"/>
          <w:kern w:val="0"/>
          <w:sz w:val="21"/>
          <w:szCs w:val="21"/>
          <w:shd w:val="clear" w:fill="auto"/>
          <w:lang w:eastAsia="zh-CN"/>
        </w:rPr>
        <w:t>支持新（改、扩）建规模化肉牛养殖场。</w:t>
      </w:r>
      <w:r>
        <w:rPr>
          <w:rFonts w:hint="eastAsia" w:ascii="宋体" w:hAnsi="宋体" w:eastAsia="宋体" w:cs="宋体"/>
          <w:i w:val="0"/>
          <w:iCs w:val="0"/>
          <w:caps w:val="0"/>
          <w:color w:val="auto"/>
          <w:spacing w:val="0"/>
          <w:kern w:val="0"/>
          <w:sz w:val="21"/>
          <w:szCs w:val="21"/>
          <w:shd w:val="clear" w:fill="auto"/>
        </w:rPr>
        <w:t>吉林省畜牧业管理局关于印发《2024年全省畜牧业营商环境优化重点行动实施方案》的通知</w:t>
      </w:r>
      <w:r>
        <w:rPr>
          <w:rFonts w:hint="eastAsia" w:ascii="宋体" w:hAnsi="宋体" w:eastAsia="宋体" w:cs="宋体"/>
          <w:i w:val="0"/>
          <w:iCs w:val="0"/>
          <w:caps w:val="0"/>
          <w:color w:val="auto"/>
          <w:spacing w:val="0"/>
          <w:kern w:val="0"/>
          <w:sz w:val="21"/>
          <w:szCs w:val="21"/>
          <w:shd w:val="clear" w:fill="auto"/>
          <w:lang w:val="en-US" w:eastAsia="zh-CN"/>
        </w:rPr>
        <w:t>中明确提出</w:t>
      </w:r>
      <w:r>
        <w:rPr>
          <w:rFonts w:hint="eastAsia" w:ascii="宋体" w:hAnsi="宋体" w:eastAsia="宋体" w:cs="宋体"/>
          <w:i w:val="0"/>
          <w:iCs w:val="0"/>
          <w:caps w:val="0"/>
          <w:color w:val="auto"/>
          <w:spacing w:val="0"/>
          <w:kern w:val="0"/>
          <w:sz w:val="21"/>
          <w:szCs w:val="21"/>
          <w:shd w:val="clear" w:fill="auto"/>
        </w:rPr>
        <w:t>强化肉牛良种繁育体系服务。对5个种公牛站、6个国家级和2个省级核心育种场、18个种牛场，采取“干部+专家”方式，开展季度“送政策、送技术”定期服务和按企业要求开展不定期“答疑惑、解需求”常态化服务，解决企业生产经营中遇到的困难和问题。根据地方实际情况，从工作场地、仪器设备、技术人员和管理制度等4个方面推广畜禽繁育服务技术要点，在全省新建立10个标准化畜禽繁育服务站，辐射周边畜禽繁育服务站，为养牛场（户）提供优质人工授精服务，完善良种繁育体系建设。</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4、研究背景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牛舍是肉牛养殖的基础设施，随着肉牛产业的发展，肉牛养殖正在向规模化、标准化方向转变，对牛舍特别是新建的牛舍有了新的、更高的要求。作为标准化肉牛养殖场建设的规范性指导标准，2014年制定的《标准化养殖场 肉牛》（NY/T 2663-2014）包括了生产管理和建设两部分内容，标准的内容和相关数据参数不够详细和准确，不能起到指导标准化肉牛养殖场建设的作用，同时缺少种公牛牛舍建设规范。因此各地都根据本地自然条件和养殖方式开展调研和研究，特别是北方地区，加大对牛舍保温、通风和提高肉牛安全和舒适性等方面加以改进，新疆、内蒙古等省区，均根据本地情况开展相关方面研究，制定相关标准，推动各地肉牛牛舍建设的标准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5、标准背景</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通过检索涉及“牛舍”的标准有18项，其中国家、行业和吉林省地方标准中，未见有种公牛牛舍建设方面的标准。与本标准相关的有NY/T 682-2003《畜禽场场区设计技术规范》、NY/T 1567-2007《标准化奶牛场建设规范》、NY/T 2663-2014《标准化养殖场 肉牛》、NY/T 2967-2016《种牛场建设标准》、NY/T 3457-2019《牦牛舍饲半舍饲生产技术规范》、</w:t>
      </w:r>
      <w:r>
        <w:rPr>
          <w:rFonts w:hint="eastAsia" w:ascii="宋体" w:hAnsi="宋体" w:eastAsia="宋体" w:cs="宋体"/>
          <w:szCs w:val="21"/>
        </w:rPr>
        <w:t>NY/T 3617-2020《</w:t>
      </w:r>
      <w:r>
        <w:rPr>
          <w:rFonts w:hint="eastAsia" w:ascii="宋体" w:hAnsi="宋体" w:eastAsia="宋体" w:cs="宋体"/>
        </w:rPr>
        <w:t>牧区牲畜暖棚建设规范</w:t>
      </w:r>
      <w:r>
        <w:rPr>
          <w:rFonts w:hint="eastAsia" w:ascii="宋体" w:hAnsi="宋体" w:eastAsia="宋体" w:cs="宋体"/>
          <w:szCs w:val="21"/>
        </w:rPr>
        <w:t>》</w:t>
      </w:r>
      <w:r>
        <w:rPr>
          <w:rFonts w:hint="eastAsia" w:ascii="宋体" w:hAnsi="宋体" w:eastAsia="宋体" w:cs="宋体"/>
          <w:kern w:val="0"/>
          <w:szCs w:val="21"/>
          <w:lang w:val="en-US" w:eastAsia="zh-CN"/>
        </w:rPr>
        <w:t>等农业行业标准，以及DB15/T 2143-2021《泌乳牛舍工艺设计规范》 、DB15/T 1328-2018《围产期牛舍建设工艺设计规范》、DB15/T 957-2016《舒适奶牛舍技术规范》（内蒙古自治区地方标准）、DB65/T 4232-2019《机械化育肥牛舍工艺设施的设计与建造要求》（新疆维吾尔自治区地方标准）、DB34/T 127.7-2004《黄牛生产技术规程 肉牛育肥场建设规范》（安徽省地方标准）、DB52/T 1257.7-2017《贵州肉牛生产技术规范 第7部分 养殖场建设》（贵州省地方标准）等地方标准。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（二）存在的问题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kern w:val="0"/>
          <w:szCs w:val="21"/>
          <w:lang w:val="en-US" w:eastAsia="zh-CN"/>
        </w:rPr>
      </w:pPr>
      <w:r>
        <w:rPr>
          <w:rFonts w:hint="eastAsia" w:ascii="宋体" w:hAnsi="宋体" w:eastAsia="宋体" w:cs="宋体"/>
          <w:b w:val="0"/>
          <w:bCs w:val="0"/>
          <w:kern w:val="0"/>
          <w:sz w:val="21"/>
          <w:szCs w:val="21"/>
          <w:lang w:val="en-US" w:eastAsia="zh-CN"/>
        </w:rPr>
        <w:t>随着集约化、规模化肉牛养殖业的快速发展，肉牛饲养规模不断壮大，</w:t>
      </w:r>
      <w:r>
        <w:rPr>
          <w:rFonts w:hint="eastAsia" w:ascii="宋体" w:hAnsi="宋体" w:eastAsia="宋体" w:cs="宋体"/>
          <w:kern w:val="0"/>
          <w:szCs w:val="21"/>
          <w:lang w:val="en-US" w:eastAsia="zh-CN"/>
        </w:rPr>
        <w:t>肉牛</w:t>
      </w:r>
      <w:r>
        <w:rPr>
          <w:rFonts w:hint="eastAsia" w:ascii="宋体" w:hAnsi="宋体" w:eastAsia="宋体" w:cs="宋体"/>
          <w:kern w:val="0"/>
          <w:szCs w:val="21"/>
        </w:rPr>
        <w:t>养殖的集约化经营水平</w:t>
      </w:r>
      <w:r>
        <w:rPr>
          <w:rFonts w:hint="eastAsia" w:ascii="宋体" w:hAnsi="宋体" w:eastAsia="宋体" w:cs="宋体"/>
          <w:kern w:val="0"/>
          <w:szCs w:val="21"/>
          <w:lang w:val="en-US" w:eastAsia="zh-CN"/>
        </w:rPr>
        <w:t>明显提高，对优良种公牛及精液的需求也随之激增。长春市是吉林省粮食的主产区、肉牛养殖的核心区、牛肉消费的主战场，发展肉牛产业优势明显。种公牛是肉牛产业发展的基础，更是提供优良冻精的保障。种公牛舍建筑作为肉牛产业业发展的基础设施，在核心育种场、种公牛站、标准化肉牛养殖场建设中占据举足轻重的地位。长春市地处吉林省中部，属温带季风气候，四季分明，冬季漫长寒冷，对牛舍建设有特殊要求，尤其是种公牛牛舍。但</w:t>
      </w:r>
      <w:r>
        <w:rPr>
          <w:rFonts w:hint="eastAsia" w:ascii="宋体" w:hAnsi="宋体" w:eastAsia="宋体" w:cs="宋体"/>
          <w:b w:val="0"/>
          <w:bCs w:val="0"/>
          <w:kern w:val="0"/>
          <w:sz w:val="21"/>
          <w:szCs w:val="21"/>
          <w:lang w:val="en-US" w:eastAsia="zh-CN"/>
        </w:rPr>
        <w:t>原有的种公牛牛舍已不能满足</w:t>
      </w:r>
      <w:r>
        <w:rPr>
          <w:rFonts w:hint="eastAsia" w:ascii="宋体" w:hAnsi="宋体" w:eastAsia="宋体" w:cs="宋体"/>
          <w:kern w:val="0"/>
          <w:szCs w:val="21"/>
          <w:lang w:val="en-US" w:eastAsia="zh-CN"/>
        </w:rPr>
        <w:t>优良种公牛的环境需求，无法提供优良的生活环境条件和完善的动物福利，进而影响种公牛的生产效率，难以确保牛群遗传品质稳定。</w:t>
      </w:r>
      <w:r>
        <w:rPr>
          <w:rFonts w:hint="eastAsia" w:ascii="宋体" w:hAnsi="宋体" w:eastAsia="宋体" w:cs="宋体"/>
          <w:b w:val="0"/>
          <w:bCs w:val="0"/>
          <w:kern w:val="0"/>
          <w:sz w:val="21"/>
          <w:szCs w:val="21"/>
          <w:lang w:val="en-US" w:eastAsia="zh-CN"/>
        </w:rPr>
        <w:t>因此，根据长春市特有环境气候，制定符合实际的种公牛牛舍建设规范已迫在眉睫。</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（三）目的意义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种公牛是肉牛产业发展的基础，结合长春市气候条件和地域特点，制定种公牛牛舍建设规范，是加强种公牛养殖标准化前提。为进一步提升畜禽生产性能，有效提高动物福利水平，切实保障“秸秆变肉”项目的顺利实施。提高种公牛的养殖环境质量和生产性能。同时，进一步规范和提高畜牧舍建设水平，确保肉牛</w:t>
      </w:r>
      <w:r>
        <w:rPr>
          <w:rFonts w:hint="default" w:ascii="宋体" w:hAnsi="宋体" w:eastAsia="宋体" w:cs="宋体"/>
          <w:b w:val="0"/>
          <w:bCs w:val="0"/>
          <w:kern w:val="0"/>
          <w:sz w:val="21"/>
          <w:szCs w:val="21"/>
          <w:lang w:val="en-US" w:eastAsia="zh-CN"/>
        </w:rPr>
        <w:t>养殖生产过程</w:t>
      </w:r>
      <w:r>
        <w:rPr>
          <w:rFonts w:hint="eastAsia" w:ascii="宋体" w:hAnsi="宋体" w:eastAsia="宋体" w:cs="宋体"/>
          <w:b w:val="0"/>
          <w:bCs w:val="0"/>
          <w:kern w:val="0"/>
          <w:sz w:val="21"/>
          <w:szCs w:val="21"/>
          <w:lang w:val="en-US" w:eastAsia="zh-CN"/>
        </w:rPr>
        <w:t>持续、良好、高效运转，</w:t>
      </w:r>
      <w:r>
        <w:rPr>
          <w:rFonts w:hint="default" w:ascii="宋体" w:hAnsi="宋体" w:eastAsia="宋体" w:cs="宋体"/>
          <w:b w:val="0"/>
          <w:bCs w:val="0"/>
          <w:kern w:val="0"/>
          <w:sz w:val="21"/>
          <w:szCs w:val="21"/>
          <w:lang w:val="en-US" w:eastAsia="zh-CN"/>
        </w:rPr>
        <w:t>提高</w:t>
      </w:r>
      <w:r>
        <w:rPr>
          <w:rFonts w:hint="eastAsia" w:ascii="宋体" w:hAnsi="宋体" w:eastAsia="宋体" w:cs="宋体"/>
          <w:b w:val="0"/>
          <w:bCs w:val="0"/>
          <w:kern w:val="0"/>
          <w:sz w:val="21"/>
          <w:szCs w:val="21"/>
          <w:lang w:val="en-US" w:eastAsia="zh-CN"/>
        </w:rPr>
        <w:t>肉牛</w:t>
      </w:r>
      <w:r>
        <w:rPr>
          <w:rFonts w:hint="default" w:ascii="宋体" w:hAnsi="宋体" w:eastAsia="宋体" w:cs="宋体"/>
          <w:b w:val="0"/>
          <w:bCs w:val="0"/>
          <w:kern w:val="0"/>
          <w:sz w:val="21"/>
          <w:szCs w:val="21"/>
          <w:lang w:val="en-US" w:eastAsia="zh-CN"/>
        </w:rPr>
        <w:t>养殖生产水平</w:t>
      </w:r>
      <w:r>
        <w:rPr>
          <w:rFonts w:hint="eastAsia" w:ascii="宋体" w:hAnsi="宋体" w:eastAsia="宋体" w:cs="宋体"/>
          <w:b w:val="0"/>
          <w:bCs w:val="0"/>
          <w:kern w:val="0"/>
          <w:sz w:val="21"/>
          <w:szCs w:val="21"/>
          <w:lang w:val="en-US" w:eastAsia="zh-CN"/>
        </w:rPr>
        <w:t>，</w:t>
      </w:r>
      <w:r>
        <w:rPr>
          <w:rFonts w:hint="default" w:ascii="宋体" w:hAnsi="宋体" w:eastAsia="宋体" w:cs="宋体"/>
          <w:b w:val="0"/>
          <w:bCs w:val="0"/>
          <w:kern w:val="0"/>
          <w:sz w:val="21"/>
          <w:szCs w:val="21"/>
          <w:lang w:val="en-US" w:eastAsia="zh-CN"/>
        </w:rPr>
        <w:t>减少养殖生产全过程的能耗和污染物排放</w:t>
      </w:r>
      <w:r>
        <w:rPr>
          <w:rFonts w:hint="eastAsia" w:ascii="宋体" w:hAnsi="宋体" w:eastAsia="宋体" w:cs="宋体"/>
          <w:b w:val="0"/>
          <w:bCs w:val="0"/>
          <w:kern w:val="0"/>
          <w:sz w:val="21"/>
          <w:szCs w:val="21"/>
          <w:lang w:val="en-US" w:eastAsia="zh-CN"/>
        </w:rPr>
        <w:t>，</w:t>
      </w:r>
      <w:r>
        <w:rPr>
          <w:rFonts w:hint="default" w:ascii="宋体" w:hAnsi="宋体" w:eastAsia="宋体" w:cs="宋体"/>
          <w:b w:val="0"/>
          <w:bCs w:val="0"/>
          <w:kern w:val="0"/>
          <w:sz w:val="21"/>
          <w:szCs w:val="21"/>
          <w:lang w:val="en-US" w:eastAsia="zh-CN"/>
        </w:rPr>
        <w:t>减少环境污染</w:t>
      </w:r>
      <w:r>
        <w:rPr>
          <w:rFonts w:hint="eastAsia" w:ascii="宋体" w:hAnsi="宋体" w:eastAsia="宋体" w:cs="宋体"/>
          <w:b w:val="0"/>
          <w:bCs w:val="0"/>
          <w:kern w:val="0"/>
          <w:sz w:val="21"/>
          <w:szCs w:val="21"/>
          <w:lang w:val="en-US" w:eastAsia="zh-CN"/>
        </w:rPr>
        <w:t>，</w:t>
      </w:r>
      <w:r>
        <w:rPr>
          <w:rFonts w:hint="default" w:ascii="宋体" w:hAnsi="宋体" w:eastAsia="宋体" w:cs="宋体"/>
          <w:b w:val="0"/>
          <w:bCs w:val="0"/>
          <w:kern w:val="0"/>
          <w:sz w:val="21"/>
          <w:szCs w:val="21"/>
          <w:lang w:val="en-US" w:eastAsia="zh-CN"/>
        </w:rPr>
        <w:t>有利于实现</w:t>
      </w:r>
      <w:r>
        <w:rPr>
          <w:rFonts w:hint="eastAsia" w:ascii="宋体" w:hAnsi="宋体" w:eastAsia="宋体" w:cs="宋体"/>
          <w:b w:val="0"/>
          <w:bCs w:val="0"/>
          <w:kern w:val="0"/>
          <w:sz w:val="21"/>
          <w:szCs w:val="21"/>
          <w:lang w:val="en-US" w:eastAsia="zh-CN"/>
        </w:rPr>
        <w:t>肉牛</w:t>
      </w:r>
      <w:r>
        <w:rPr>
          <w:rFonts w:hint="default" w:ascii="宋体" w:hAnsi="宋体" w:eastAsia="宋体" w:cs="宋体"/>
          <w:b w:val="0"/>
          <w:bCs w:val="0"/>
          <w:kern w:val="0"/>
          <w:sz w:val="21"/>
          <w:szCs w:val="21"/>
          <w:lang w:val="en-US" w:eastAsia="zh-CN"/>
        </w:rPr>
        <w:t>养殖的可持续发展</w:t>
      </w:r>
      <w:r>
        <w:rPr>
          <w:rFonts w:hint="eastAsia" w:ascii="宋体" w:hAnsi="宋体" w:eastAsia="宋体" w:cs="宋体"/>
          <w:b w:val="0"/>
          <w:bCs w:val="0"/>
          <w:kern w:val="0"/>
          <w:sz w:val="21"/>
          <w:szCs w:val="21"/>
          <w:lang w:val="en-US" w:eastAsia="zh-CN"/>
        </w:rPr>
        <w:t>，</w:t>
      </w:r>
      <w:r>
        <w:rPr>
          <w:rFonts w:hint="default" w:ascii="宋体" w:hAnsi="宋体" w:eastAsia="宋体" w:cs="宋体"/>
          <w:b w:val="0"/>
          <w:bCs w:val="0"/>
          <w:kern w:val="0"/>
          <w:sz w:val="21"/>
          <w:szCs w:val="21"/>
          <w:lang w:val="en-US" w:eastAsia="zh-CN"/>
        </w:rPr>
        <w:t>为人类提供安全、健康的绿色畜禽产品。</w:t>
      </w:r>
      <w:r>
        <w:rPr>
          <w:rFonts w:hint="eastAsia" w:ascii="宋体" w:hAnsi="宋体" w:eastAsia="宋体" w:cs="宋体"/>
          <w:b w:val="0"/>
          <w:bCs w:val="0"/>
          <w:kern w:val="0"/>
          <w:sz w:val="21"/>
          <w:szCs w:val="21"/>
          <w:lang w:val="en-US" w:eastAsia="zh-CN"/>
        </w:rPr>
        <w:t>同时本标准的制定，既完善了我市畜牧业标准体系，又填补了我市在种公牛牛舍建设规范方面的空白；本标准的实施可以规范和提高畜牧舍建设水平，从而促进我市畜牧业的健康良好发展。</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黑体" w:hAnsi="Times New Roman" w:eastAsia="黑体" w:cs="黑体"/>
          <w:color w:val="auto"/>
          <w:kern w:val="0"/>
          <w:szCs w:val="21"/>
        </w:rPr>
      </w:pPr>
      <w:r>
        <w:rPr>
          <w:rFonts w:hint="eastAsia" w:ascii="黑体" w:hAnsi="Times New Roman" w:eastAsia="黑体" w:cs="黑体"/>
          <w:color w:val="auto"/>
          <w:kern w:val="0"/>
          <w:szCs w:val="21"/>
        </w:rPr>
        <w:t>三、主要起草过程</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（一）预研阶段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Times New Roman" w:hAnsi="Times New Roman" w:cs="Times New Roman"/>
          <w:color w:val="auto"/>
        </w:rPr>
        <w:t>标准起草单位长春市畜牧总站从20</w:t>
      </w:r>
      <w:r>
        <w:rPr>
          <w:rFonts w:hint="eastAsia" w:ascii="Times New Roman" w:hAnsi="Times New Roman" w:cs="Times New Roman"/>
          <w:color w:val="auto"/>
          <w:lang w:val="en-US" w:eastAsia="zh-CN"/>
        </w:rPr>
        <w:t>20</w:t>
      </w:r>
      <w:r>
        <w:rPr>
          <w:rFonts w:hint="eastAsia" w:ascii="Times New Roman" w:hAnsi="Times New Roman" w:cs="Times New Roman"/>
          <w:color w:val="auto"/>
        </w:rPr>
        <w:t>年开始，会同</w:t>
      </w:r>
      <w:r>
        <w:rPr>
          <w:rFonts w:hint="eastAsia" w:ascii="宋体" w:hAnsi="宋体" w:eastAsia="宋体" w:cs="宋体"/>
          <w:b w:val="0"/>
          <w:bCs w:val="0"/>
          <w:color w:val="auto"/>
          <w:kern w:val="0"/>
          <w:sz w:val="21"/>
          <w:szCs w:val="21"/>
          <w:lang w:val="en-US" w:eastAsia="zh-CN"/>
        </w:rPr>
        <w:t>吉林农业科技学院、</w:t>
      </w:r>
      <w:r>
        <w:rPr>
          <w:rFonts w:hint="eastAsia" w:ascii="Times New Roman" w:hAnsi="Times New Roman" w:cs="Times New Roman"/>
          <w:color w:val="auto"/>
          <w:lang w:eastAsia="zh-CN"/>
        </w:rPr>
        <w:t>长春新牧科技有限公司、</w:t>
      </w:r>
      <w:r>
        <w:rPr>
          <w:rFonts w:hint="eastAsia" w:ascii="Times New Roman" w:hAnsi="Times New Roman" w:cs="Times New Roman"/>
          <w:color w:val="auto"/>
        </w:rPr>
        <w:t>长春市标准研究院</w:t>
      </w:r>
      <w:r>
        <w:rPr>
          <w:rFonts w:hint="eastAsia" w:ascii="宋体" w:hAnsi="宋体" w:eastAsia="宋体" w:cs="宋体"/>
          <w:kern w:val="0"/>
          <w:szCs w:val="21"/>
          <w:lang w:val="en-US" w:eastAsia="zh-CN"/>
        </w:rPr>
        <w:t>（长春市WTO/TBT咨询中心）</w:t>
      </w:r>
      <w:r>
        <w:rPr>
          <w:rFonts w:hint="eastAsia" w:ascii="Times New Roman" w:hAnsi="Times New Roman" w:cs="Times New Roman"/>
          <w:color w:val="auto"/>
          <w:lang w:eastAsia="zh-CN"/>
        </w:rPr>
        <w:t>共同开展</w:t>
      </w:r>
      <w:r>
        <w:rPr>
          <w:rFonts w:hint="eastAsia" w:ascii="宋体" w:hAnsi="宋体" w:eastAsia="宋体" w:cs="宋体"/>
          <w:b w:val="0"/>
          <w:bCs w:val="0"/>
          <w:color w:val="auto"/>
          <w:kern w:val="0"/>
          <w:sz w:val="21"/>
          <w:szCs w:val="21"/>
          <w:lang w:val="en-US" w:eastAsia="zh-CN"/>
        </w:rPr>
        <w:t>肉牛繁育改良、养殖技术推广、标准化生产、畜产品质量安全、畜牧业绿色发展等工作，特别是在各种畜牧舍的标准制定方面参与了多个地方标准的制定工作，在制定本标准上有着较好的预研数据及经验，</w:t>
      </w:r>
      <w:r>
        <w:rPr>
          <w:rFonts w:hint="eastAsia" w:ascii="Times New Roman" w:hAnsi="Times New Roman" w:cs="Times New Roman"/>
          <w:color w:val="auto"/>
        </w:rPr>
        <w:t>为项目的顺利实施提供了强有力的理论和实践保障，也为下一步标准</w:t>
      </w:r>
      <w:r>
        <w:rPr>
          <w:rFonts w:hint="eastAsia" w:ascii="Times New Roman" w:hAnsi="Times New Roman" w:cs="Times New Roman"/>
          <w:color w:val="auto"/>
          <w:lang w:eastAsia="zh-CN"/>
        </w:rPr>
        <w:t>制定和宣贯</w:t>
      </w:r>
      <w:r>
        <w:rPr>
          <w:rFonts w:hint="eastAsia" w:ascii="Times New Roman" w:hAnsi="Times New Roman" w:cs="Times New Roman"/>
          <w:color w:val="auto"/>
        </w:rPr>
        <w:t>提供良好的平台</w:t>
      </w:r>
      <w:r>
        <w:rPr>
          <w:rFonts w:hint="eastAsia" w:ascii="宋体" w:hAnsi="宋体" w:eastAsia="宋体" w:cs="宋体"/>
          <w:b w:val="0"/>
          <w:bCs w:val="0"/>
          <w:color w:val="auto"/>
          <w:kern w:val="0"/>
          <w:sz w:val="21"/>
          <w:szCs w:val="21"/>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kern w:val="0"/>
          <w:sz w:val="21"/>
          <w:szCs w:val="21"/>
        </w:rPr>
        <w:t>标准起草预研小组从202</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年初开始收集、整理</w:t>
      </w:r>
      <w:r>
        <w:rPr>
          <w:rFonts w:hint="eastAsia" w:ascii="宋体" w:hAnsi="宋体" w:eastAsia="宋体" w:cs="宋体"/>
          <w:kern w:val="0"/>
          <w:sz w:val="21"/>
          <w:szCs w:val="21"/>
          <w:lang w:val="en-US" w:eastAsia="zh-CN"/>
        </w:rPr>
        <w:t>种公牛牛舍建设</w:t>
      </w:r>
      <w:r>
        <w:rPr>
          <w:rFonts w:hint="eastAsia" w:ascii="宋体" w:hAnsi="宋体" w:eastAsia="宋体" w:cs="宋体"/>
          <w:kern w:val="0"/>
          <w:sz w:val="21"/>
          <w:szCs w:val="21"/>
        </w:rPr>
        <w:t>相关资料和文献，确定标准编写目标和依据，查阅了国内外相关技术报告</w:t>
      </w:r>
      <w:r>
        <w:rPr>
          <w:rFonts w:hint="eastAsia" w:ascii="宋体" w:hAnsi="宋体" w:eastAsia="宋体" w:cs="宋体"/>
          <w:color w:val="000000" w:themeColor="text1"/>
          <w:kern w:val="0"/>
          <w:sz w:val="21"/>
          <w:szCs w:val="21"/>
          <w14:textFill>
            <w14:solidFill>
              <w14:schemeClr w14:val="tx1"/>
            </w14:solidFill>
          </w14:textFill>
        </w:rPr>
        <w:t>和相关材料，</w:t>
      </w:r>
      <w:r>
        <w:rPr>
          <w:rFonts w:hint="eastAsia" w:ascii="宋体" w:hAnsi="宋体" w:eastAsia="宋体" w:cs="宋体"/>
          <w:kern w:val="0"/>
          <w:sz w:val="21"/>
          <w:szCs w:val="21"/>
        </w:rPr>
        <w:t>并深入</w:t>
      </w:r>
      <w:r>
        <w:rPr>
          <w:rFonts w:hint="eastAsia" w:ascii="宋体" w:hAnsi="宋体" w:eastAsia="宋体" w:cs="宋体"/>
          <w:kern w:val="0"/>
          <w:szCs w:val="21"/>
          <w:lang w:val="en-US" w:eastAsia="zh-CN"/>
        </w:rPr>
        <w:t>核心育种场、种公牛站、标准化肉牛养殖场</w:t>
      </w:r>
      <w:r>
        <w:rPr>
          <w:rFonts w:hint="eastAsia" w:ascii="宋体" w:hAnsi="宋体" w:eastAsia="宋体" w:cs="宋体"/>
          <w:kern w:val="0"/>
          <w:sz w:val="21"/>
          <w:szCs w:val="21"/>
        </w:rPr>
        <w:t>，对牛场的建设情况、</w:t>
      </w:r>
      <w:r>
        <w:rPr>
          <w:rFonts w:hint="eastAsia" w:ascii="宋体" w:hAnsi="宋体" w:eastAsia="宋体" w:cs="宋体"/>
          <w:kern w:val="0"/>
          <w:sz w:val="21"/>
          <w:szCs w:val="21"/>
          <w:lang w:val="en-US" w:eastAsia="zh-CN"/>
        </w:rPr>
        <w:t>饲养</w:t>
      </w:r>
      <w:r>
        <w:rPr>
          <w:rFonts w:hint="eastAsia" w:ascii="宋体" w:hAnsi="宋体" w:eastAsia="宋体" w:cs="宋体"/>
          <w:kern w:val="0"/>
          <w:sz w:val="21"/>
          <w:szCs w:val="21"/>
        </w:rPr>
        <w:t>管理情况以及疫病防治情况进行调研，了解</w:t>
      </w:r>
      <w:r>
        <w:rPr>
          <w:rFonts w:hint="eastAsia" w:ascii="宋体" w:hAnsi="宋体" w:eastAsia="宋体" w:cs="宋体"/>
          <w:kern w:val="0"/>
          <w:sz w:val="21"/>
          <w:szCs w:val="21"/>
          <w:lang w:val="en-US" w:eastAsia="zh-CN"/>
        </w:rPr>
        <w:t>现代化种公牛牛舍</w:t>
      </w:r>
      <w:r>
        <w:rPr>
          <w:rFonts w:hint="eastAsia" w:ascii="宋体" w:hAnsi="宋体" w:eastAsia="宋体" w:cs="宋体"/>
          <w:kern w:val="0"/>
          <w:sz w:val="21"/>
          <w:szCs w:val="21"/>
        </w:rPr>
        <w:t>建设现状</w:t>
      </w:r>
      <w:r>
        <w:rPr>
          <w:rFonts w:hint="eastAsia" w:ascii="宋体" w:hAnsi="宋体" w:eastAsia="宋体" w:cs="宋体"/>
          <w:kern w:val="0"/>
          <w:sz w:val="21"/>
          <w:szCs w:val="21"/>
          <w:lang w:val="en-US" w:eastAsia="zh-CN"/>
        </w:rPr>
        <w:t>和</w:t>
      </w:r>
      <w:r>
        <w:rPr>
          <w:rFonts w:hint="eastAsia" w:ascii="宋体" w:hAnsi="宋体" w:eastAsia="宋体" w:cs="宋体"/>
          <w:kern w:val="0"/>
          <w:sz w:val="21"/>
          <w:szCs w:val="21"/>
        </w:rPr>
        <w:t>发展需求。此后，标准起草预研小组查阅了大量的文献资料，并对国家标准、行业标准、地方标准和国外先进标准进行了联机检索工作，通过收集、整理和分析国内外在该研究领域的相关技术资料，参照国内相关标准规范的基础上形成了本标准</w:t>
      </w:r>
      <w:r>
        <w:rPr>
          <w:rFonts w:hint="eastAsia" w:ascii="宋体" w:hAnsi="宋体" w:eastAsia="宋体" w:cs="宋体"/>
          <w:color w:val="000000" w:themeColor="text1"/>
          <w:kern w:val="0"/>
          <w:sz w:val="21"/>
          <w:szCs w:val="21"/>
          <w14:textFill>
            <w14:solidFill>
              <w14:schemeClr w14:val="tx1"/>
            </w14:solidFill>
          </w14:textFill>
        </w:rPr>
        <w:t>的可行性报告</w:t>
      </w:r>
      <w:r>
        <w:rPr>
          <w:rFonts w:hint="eastAsia" w:ascii="宋体" w:hAnsi="宋体" w:eastAsia="宋体" w:cs="宋体"/>
          <w:b w:val="0"/>
          <w:bCs w:val="0"/>
          <w:kern w:val="0"/>
          <w:sz w:val="21"/>
          <w:szCs w:val="21"/>
          <w:lang w:val="en-US" w:eastAsia="zh-CN"/>
        </w:rPr>
        <w:t>。</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（二）立项阶段</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宋体" w:hAnsi="宋体" w:eastAsia="宋体" w:cs="宋体"/>
          <w:kern w:val="0"/>
          <w:sz w:val="21"/>
          <w:szCs w:val="21"/>
        </w:rPr>
      </w:pPr>
      <w:r>
        <w:rPr>
          <w:rFonts w:hint="eastAsia" w:ascii="宋体" w:hAnsi="宋体" w:eastAsia="宋体" w:cs="宋体"/>
          <w:b w:val="0"/>
          <w:bCs w:val="0"/>
          <w:kern w:val="0"/>
          <w:sz w:val="21"/>
          <w:szCs w:val="21"/>
          <w:lang w:val="en-US" w:eastAsia="zh-CN"/>
        </w:rPr>
        <w:t>2024 年3月</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市场监督管理</w:t>
      </w:r>
      <w:r>
        <w:rPr>
          <w:rFonts w:hint="eastAsia" w:ascii="宋体" w:hAnsi="宋体" w:eastAsia="宋体" w:cs="宋体"/>
          <w:kern w:val="0"/>
          <w:sz w:val="21"/>
          <w:szCs w:val="21"/>
          <w:lang w:eastAsia="zh-CN"/>
        </w:rPr>
        <w:t>局印发的《</w:t>
      </w:r>
      <w:r>
        <w:rPr>
          <w:rFonts w:hint="eastAsia" w:ascii="宋体" w:hAnsi="宋体" w:eastAsia="宋体" w:cs="宋体"/>
          <w:kern w:val="0"/>
          <w:sz w:val="21"/>
          <w:szCs w:val="21"/>
          <w:lang w:val="en-US" w:eastAsia="zh-CN"/>
        </w:rPr>
        <w:t>关于印发2024年长春市地方标准立项指南的通知</w:t>
      </w:r>
      <w:r>
        <w:rPr>
          <w:rFonts w:hint="eastAsia" w:ascii="宋体" w:hAnsi="宋体" w:eastAsia="宋体" w:cs="宋体"/>
          <w:kern w:val="0"/>
          <w:sz w:val="21"/>
          <w:szCs w:val="21"/>
          <w:lang w:eastAsia="zh-CN"/>
        </w:rPr>
        <w:t>》（长市监</w:t>
      </w:r>
      <w:r>
        <w:rPr>
          <w:rFonts w:hint="eastAsia" w:ascii="宋体" w:hAnsi="宋体" w:eastAsia="宋体" w:cs="宋体"/>
          <w:kern w:val="0"/>
          <w:sz w:val="21"/>
          <w:szCs w:val="21"/>
          <w:lang w:val="en-US" w:eastAsia="zh-CN"/>
        </w:rPr>
        <w:t>[2024]24号</w:t>
      </w:r>
      <w:r>
        <w:rPr>
          <w:rFonts w:hint="eastAsia" w:ascii="宋体" w:hAnsi="宋体" w:eastAsia="宋体" w:cs="宋体"/>
          <w:kern w:val="0"/>
          <w:sz w:val="21"/>
          <w:szCs w:val="21"/>
          <w:lang w:eastAsia="zh-CN"/>
        </w:rPr>
        <w:t>），项目组</w:t>
      </w:r>
      <w:r>
        <w:rPr>
          <w:rFonts w:hint="eastAsia" w:ascii="宋体" w:hAnsi="宋体" w:eastAsia="宋体" w:cs="宋体"/>
          <w:kern w:val="0"/>
          <w:sz w:val="21"/>
          <w:szCs w:val="21"/>
        </w:rPr>
        <w:t>通过</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畜牧业管理局，提出并申报《</w:t>
      </w:r>
      <w:r>
        <w:rPr>
          <w:rFonts w:hint="eastAsia" w:ascii="宋体" w:hAnsi="宋体" w:eastAsia="宋体" w:cs="宋体"/>
          <w:kern w:val="0"/>
          <w:szCs w:val="21"/>
          <w:lang w:val="en-US" w:eastAsia="zh-CN"/>
        </w:rPr>
        <w:t>肉牛牛舍建设规范 第2部分：种公牛</w:t>
      </w:r>
      <w:r>
        <w:rPr>
          <w:rFonts w:hint="eastAsia" w:ascii="宋体" w:hAnsi="宋体" w:eastAsia="宋体" w:cs="宋体"/>
          <w:kern w:val="0"/>
          <w:sz w:val="21"/>
          <w:szCs w:val="21"/>
        </w:rPr>
        <w:t>》，经</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市场监督管理</w:t>
      </w:r>
      <w:r>
        <w:rPr>
          <w:rFonts w:hint="eastAsia" w:ascii="宋体" w:hAnsi="宋体" w:eastAsia="宋体" w:cs="宋体"/>
          <w:kern w:val="0"/>
          <w:sz w:val="21"/>
          <w:szCs w:val="21"/>
          <w:lang w:val="en-US" w:eastAsia="zh-CN"/>
        </w:rPr>
        <w:t>局</w:t>
      </w:r>
      <w:r>
        <w:rPr>
          <w:rFonts w:hint="eastAsia" w:ascii="宋体" w:hAnsi="宋体" w:eastAsia="宋体" w:cs="宋体"/>
          <w:kern w:val="0"/>
          <w:sz w:val="21"/>
          <w:szCs w:val="21"/>
        </w:rPr>
        <w:t>和</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畜牧业管理局审批通过项目论证</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列入长春市</w:t>
      </w:r>
      <w:r>
        <w:rPr>
          <w:rFonts w:hint="eastAsia" w:ascii="宋体" w:hAnsi="宋体" w:eastAsia="宋体" w:cs="宋体"/>
          <w:kern w:val="0"/>
          <w:sz w:val="21"/>
          <w:szCs w:val="21"/>
          <w:lang w:eastAsia="zh-CN"/>
        </w:rPr>
        <w:t>地方</w:t>
      </w:r>
      <w:r>
        <w:rPr>
          <w:rFonts w:hint="eastAsia" w:ascii="宋体" w:hAnsi="宋体" w:eastAsia="宋体" w:cs="宋体"/>
          <w:kern w:val="0"/>
          <w:sz w:val="21"/>
          <w:szCs w:val="21"/>
          <w:lang w:val="en-US" w:eastAsia="zh-CN"/>
        </w:rPr>
        <w:t>标准制修订</w:t>
      </w:r>
      <w:r>
        <w:rPr>
          <w:rFonts w:hint="eastAsia" w:ascii="宋体" w:hAnsi="宋体" w:eastAsia="宋体" w:cs="宋体"/>
          <w:kern w:val="0"/>
          <w:sz w:val="21"/>
          <w:szCs w:val="21"/>
        </w:rPr>
        <w:t>计划。</w:t>
      </w:r>
    </w:p>
    <w:p>
      <w:pPr>
        <w:keepNext w:val="0"/>
        <w:keepLines w:val="0"/>
        <w:pageBreakBefore w:val="0"/>
        <w:widowControl/>
        <w:kinsoku/>
        <w:wordWrap/>
        <w:overflowPunct/>
        <w:topLinePunct w:val="0"/>
        <w:bidi w:val="0"/>
        <w:adjustRightInd w:val="0"/>
        <w:snapToGrid/>
        <w:spacing w:beforeAutospacing="0" w:afterAutospacing="0" w:line="360" w:lineRule="auto"/>
        <w:ind w:firstLine="420" w:firstLineChars="200"/>
        <w:textAlignment w:val="auto"/>
        <w:rPr>
          <w:rFonts w:hint="eastAsia" w:ascii="Times New Roman" w:hAnsi="Times New Roman" w:cs="Times New Roman" w:eastAsiaTheme="minorEastAsia"/>
          <w:color w:val="auto"/>
          <w:lang w:val="en-US" w:eastAsia="zh-CN"/>
        </w:rPr>
      </w:pPr>
      <w:r>
        <w:rPr>
          <w:rFonts w:hint="eastAsia" w:ascii="Times New Roman" w:hAnsi="Times New Roman" w:cs="Times New Roman"/>
          <w:color w:val="auto"/>
        </w:rPr>
        <w:t>（三）起草阶段</w:t>
      </w:r>
      <w:r>
        <w:rPr>
          <w:rFonts w:hint="eastAsia" w:ascii="Times New Roman" w:hAnsi="Times New Roman" w:cs="Times New Roman"/>
          <w:color w:val="auto"/>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1、成立起草小组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default" w:ascii="宋体" w:hAnsi="宋体" w:eastAsia="宋体" w:cs="宋体"/>
          <w:b w:val="0"/>
          <w:bCs w:val="0"/>
          <w:color w:val="auto"/>
          <w:kern w:val="0"/>
          <w:sz w:val="21"/>
          <w:szCs w:val="21"/>
          <w:lang w:val="en-US" w:eastAsia="zh-CN"/>
        </w:rPr>
      </w:pPr>
      <w:r>
        <w:rPr>
          <w:rFonts w:hint="eastAsia" w:ascii="Times New Roman" w:hAnsi="Times New Roman" w:cs="Times New Roman"/>
          <w:color w:val="auto"/>
        </w:rPr>
        <w:t>长春市畜牧总站</w:t>
      </w:r>
      <w:r>
        <w:rPr>
          <w:rFonts w:hint="eastAsia" w:ascii="宋体" w:hAnsi="宋体" w:eastAsia="宋体" w:cs="宋体"/>
          <w:b w:val="0"/>
          <w:bCs w:val="0"/>
          <w:color w:val="auto"/>
          <w:kern w:val="0"/>
          <w:sz w:val="21"/>
          <w:szCs w:val="21"/>
          <w:lang w:val="en-US" w:eastAsia="zh-CN"/>
        </w:rPr>
        <w:t>与</w:t>
      </w:r>
      <w:r>
        <w:rPr>
          <w:rFonts w:hint="eastAsia" w:ascii="Times New Roman" w:hAnsi="Times New Roman" w:cs="Times New Roman"/>
          <w:color w:val="auto"/>
          <w:highlight w:val="none"/>
          <w:lang w:eastAsia="zh-CN"/>
        </w:rPr>
        <w:t>吉林农业</w:t>
      </w:r>
      <w:r>
        <w:rPr>
          <w:rFonts w:hint="eastAsia" w:ascii="Times New Roman" w:hAnsi="Times New Roman" w:cs="Times New Roman"/>
          <w:color w:val="auto"/>
          <w:highlight w:val="none"/>
          <w:lang w:val="en-US" w:eastAsia="zh-CN"/>
        </w:rPr>
        <w:t>科技学院</w:t>
      </w:r>
      <w:r>
        <w:rPr>
          <w:rFonts w:hint="eastAsia" w:ascii="Times New Roman" w:hAnsi="Times New Roman" w:cs="Times New Roman"/>
          <w:color w:val="auto"/>
          <w:highlight w:val="none"/>
          <w:lang w:eastAsia="zh-CN"/>
        </w:rPr>
        <w:t>、</w:t>
      </w:r>
      <w:r>
        <w:rPr>
          <w:rFonts w:hint="eastAsia" w:ascii="Times New Roman" w:hAnsi="Times New Roman" w:cs="Times New Roman"/>
          <w:color w:val="auto"/>
          <w:lang w:eastAsia="zh-CN"/>
        </w:rPr>
        <w:t>长春新牧科技有限公司、</w:t>
      </w:r>
      <w:r>
        <w:rPr>
          <w:rFonts w:hint="eastAsia" w:ascii="宋体" w:hAnsi="宋体"/>
          <w:color w:val="auto"/>
          <w:sz w:val="21"/>
          <w:szCs w:val="21"/>
        </w:rPr>
        <w:t>长春市标准研究院</w:t>
      </w:r>
      <w:r>
        <w:rPr>
          <w:rFonts w:hint="eastAsia" w:ascii="宋体" w:hAnsi="宋体" w:eastAsia="宋体" w:cs="宋体"/>
          <w:kern w:val="0"/>
          <w:szCs w:val="21"/>
          <w:lang w:val="en-US" w:eastAsia="zh-CN"/>
        </w:rPr>
        <w:t>（长春市WTO/TBT咨询中心）</w:t>
      </w:r>
      <w:r>
        <w:rPr>
          <w:rFonts w:hint="eastAsia" w:ascii="宋体" w:hAnsi="宋体" w:eastAsia="宋体" w:cs="宋体"/>
          <w:b w:val="0"/>
          <w:bCs w:val="0"/>
          <w:color w:val="auto"/>
          <w:kern w:val="0"/>
          <w:sz w:val="21"/>
          <w:szCs w:val="21"/>
          <w:lang w:val="en-US" w:eastAsia="zh-CN"/>
        </w:rPr>
        <w:t>成立了标准起草小组，确立了人员的职责分工，具体见表 1。</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center"/>
        <w:textAlignment w:val="auto"/>
        <w:rPr>
          <w:rFonts w:hint="eastAsia" w:ascii="宋体" w:hAnsi="宋体"/>
          <w:color w:val="auto"/>
          <w:sz w:val="21"/>
          <w:szCs w:val="21"/>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center"/>
        <w:textAlignment w:val="auto"/>
        <w:rPr>
          <w:rFonts w:hint="eastAsia" w:ascii="宋体" w:hAnsi="宋体"/>
          <w:color w:val="auto"/>
          <w:sz w:val="21"/>
          <w:szCs w:val="21"/>
          <w:lang w:val="en-US" w:eastAsia="zh-CN"/>
        </w:rPr>
      </w:pPr>
      <w:r>
        <w:rPr>
          <w:rFonts w:hint="eastAsia" w:ascii="宋体" w:hAnsi="宋体"/>
          <w:color w:val="auto"/>
          <w:sz w:val="21"/>
          <w:szCs w:val="21"/>
        </w:rPr>
        <w:t xml:space="preserve">表1  </w:t>
      </w:r>
      <w:r>
        <w:rPr>
          <w:rFonts w:hint="eastAsia" w:ascii="宋体" w:hAnsi="宋体"/>
          <w:color w:val="auto"/>
          <w:sz w:val="21"/>
          <w:szCs w:val="21"/>
          <w:lang w:val="en-US" w:eastAsia="zh-CN"/>
        </w:rPr>
        <w:t>标准起草小组人员及分工</w:t>
      </w:r>
    </w:p>
    <w:tbl>
      <w:tblPr>
        <w:tblStyle w:val="5"/>
        <w:tblW w:w="84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1"/>
        <w:gridCol w:w="833"/>
        <w:gridCol w:w="719"/>
        <w:gridCol w:w="678"/>
        <w:gridCol w:w="822"/>
        <w:gridCol w:w="1953"/>
        <w:gridCol w:w="871"/>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661"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岗位</w:t>
            </w:r>
          </w:p>
        </w:tc>
        <w:tc>
          <w:tcPr>
            <w:tcW w:w="833"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姓 名</w:t>
            </w:r>
          </w:p>
        </w:tc>
        <w:tc>
          <w:tcPr>
            <w:tcW w:w="719"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性别</w:t>
            </w:r>
          </w:p>
        </w:tc>
        <w:tc>
          <w:tcPr>
            <w:tcW w:w="678"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年龄</w:t>
            </w:r>
          </w:p>
        </w:tc>
        <w:tc>
          <w:tcPr>
            <w:tcW w:w="822"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专 业</w:t>
            </w:r>
          </w:p>
        </w:tc>
        <w:tc>
          <w:tcPr>
            <w:tcW w:w="1953"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所 在 单 位</w:t>
            </w:r>
          </w:p>
        </w:tc>
        <w:tc>
          <w:tcPr>
            <w:tcW w:w="871"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职称</w:t>
            </w:r>
          </w:p>
        </w:tc>
        <w:tc>
          <w:tcPr>
            <w:tcW w:w="1911" w:type="dxa"/>
            <w:vAlign w:val="center"/>
          </w:tcPr>
          <w:p>
            <w:pPr>
              <w:keepNext w:val="0"/>
              <w:keepLines w:val="0"/>
              <w:pageBreakBefore w:val="0"/>
              <w:kinsoku/>
              <w:wordWrap/>
              <w:overflowPunct/>
              <w:topLinePunct w:val="0"/>
              <w:bidi w:val="0"/>
              <w:snapToGrid/>
              <w:spacing w:beforeAutospacing="0" w:afterAutospacing="0" w:line="360" w:lineRule="auto"/>
              <w:contextualSpacing/>
              <w:jc w:val="center"/>
              <w:textAlignment w:val="auto"/>
              <w:rPr>
                <w:color w:val="auto"/>
                <w:szCs w:val="21"/>
              </w:rPr>
            </w:pPr>
            <w:r>
              <w:rPr>
                <w:color w:val="auto"/>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eastAsiaTheme="minorEastAsia"/>
                <w:color w:val="auto"/>
                <w:sz w:val="20"/>
                <w:szCs w:val="20"/>
              </w:rPr>
              <w:t>组长</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王健</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42</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动物科学</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长春市畜牧总站</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高级畜牧师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负责项目全面工作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eastAsia="zh-CN"/>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徐微</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27</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长春市畜牧总站</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助理畜牧师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负责项目全面工作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邓贺</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41</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计算机</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长春市标准研究院（长春市WTO/TBT咨询中心）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工程师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负责项目全面工作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highlight w:val="none"/>
              </w:rPr>
            </w:pPr>
            <w:r>
              <w:rPr>
                <w:rFonts w:hint="eastAsia" w:cs="宋体" w:asciiTheme="minorEastAsia" w:hAnsiTheme="minorEastAsia"/>
                <w:color w:val="auto"/>
                <w:sz w:val="20"/>
                <w:szCs w:val="20"/>
                <w:highlight w:val="none"/>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kern w:val="2"/>
                <w:sz w:val="20"/>
                <w:szCs w:val="20"/>
                <w:highlight w:val="none"/>
                <w:lang w:val="en-US" w:eastAsia="zh-CN" w:bidi="ar-SA"/>
              </w:rPr>
            </w:pPr>
            <w:r>
              <w:rPr>
                <w:rFonts w:hint="eastAsia" w:cs="宋体" w:asciiTheme="minorEastAsia" w:hAnsiTheme="minorEastAsia"/>
                <w:color w:val="auto"/>
                <w:kern w:val="2"/>
                <w:sz w:val="20"/>
                <w:szCs w:val="20"/>
                <w:highlight w:val="none"/>
                <w:lang w:val="en-US" w:eastAsia="zh-CN" w:bidi="ar-SA"/>
              </w:rPr>
              <w:t>郭利</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highlight w:val="none"/>
                <w:lang w:val="en-US" w:eastAsia="zh-CN" w:bidi="ar-SA"/>
              </w:rPr>
            </w:pPr>
            <w:r>
              <w:rPr>
                <w:rFonts w:hint="eastAsia" w:cs="宋体" w:asciiTheme="minorEastAsia" w:hAnsiTheme="minorEastAsia"/>
                <w:color w:val="auto"/>
                <w:sz w:val="20"/>
                <w:szCs w:val="20"/>
                <w:highlight w:val="none"/>
                <w:lang w:val="en-US" w:eastAsia="zh-CN"/>
              </w:rPr>
              <w:t>女</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highlight w:val="none"/>
                <w:lang w:val="en-US" w:eastAsia="zh-CN" w:bidi="ar-SA"/>
              </w:rPr>
            </w:pP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highlight w:val="none"/>
                <w:lang w:val="en-US" w:eastAsia="zh-CN" w:bidi="ar-SA"/>
              </w:rPr>
            </w:pPr>
            <w:r>
              <w:rPr>
                <w:rFonts w:hint="eastAsia" w:cs="宋体" w:asciiTheme="minorEastAsia" w:hAnsiTheme="minorEastAsia"/>
                <w:color w:val="auto"/>
                <w:sz w:val="20"/>
                <w:szCs w:val="20"/>
                <w:highlight w:val="none"/>
                <w:lang w:val="en-US" w:eastAsia="zh-CN"/>
              </w:rPr>
              <w:t>兽医</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highlight w:val="none"/>
                <w:lang w:val="en-US" w:eastAsia="zh-CN" w:bidi="ar-SA"/>
              </w:rPr>
            </w:pPr>
            <w:r>
              <w:rPr>
                <w:rFonts w:hint="eastAsia" w:cs="宋体" w:asciiTheme="minorEastAsia" w:hAnsiTheme="minorEastAsia"/>
                <w:color w:val="auto"/>
                <w:sz w:val="20"/>
                <w:szCs w:val="20"/>
                <w:highlight w:val="none"/>
                <w:lang w:val="en-US" w:eastAsia="zh-CN"/>
              </w:rPr>
              <w:t>吉林农业科技学院</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highlight w:val="none"/>
                <w:lang w:val="en-US" w:eastAsia="zh-CN" w:bidi="ar-SA"/>
              </w:rPr>
            </w:pPr>
            <w:r>
              <w:rPr>
                <w:rFonts w:hint="eastAsia" w:cs="宋体" w:asciiTheme="minorEastAsia" w:hAnsiTheme="minorEastAsia"/>
                <w:color w:val="auto"/>
                <w:sz w:val="20"/>
                <w:szCs w:val="20"/>
                <w:highlight w:val="none"/>
                <w:lang w:val="en-US" w:eastAsia="zh-CN"/>
              </w:rPr>
              <w:t>教授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highlight w:val="yellow"/>
                <w:lang w:val="en-US" w:eastAsia="zh-CN" w:bidi="ar-SA"/>
              </w:rPr>
            </w:pPr>
            <w:r>
              <w:rPr>
                <w:rFonts w:hint="eastAsia" w:cs="宋体" w:asciiTheme="minorEastAsia" w:hAnsiTheme="minorEastAsia"/>
                <w:color w:val="auto"/>
                <w:sz w:val="20"/>
                <w:szCs w:val="20"/>
                <w:lang w:val="en-US" w:eastAsia="zh-CN"/>
              </w:rPr>
              <w:t>负责项目全面工作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李艳萍</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55</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兽医</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绿园区动物疫病预防控制中心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正高级兽医师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调查、标准查新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孙嘉逸</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32</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长春新牧科技有限公司</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副董事长</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标准推广、应用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于海欣</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43</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公主岭市畜牧总站</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副站长</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文字、格式校准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高艳玲</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女</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52</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畜牧</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both"/>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九台区畜牧总站</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kern w:val="2"/>
                <w:sz w:val="20"/>
                <w:szCs w:val="20"/>
                <w:lang w:val="en-US" w:eastAsia="zh-CN" w:bidi="ar-SA"/>
              </w:rPr>
              <w:t>科长</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调查、标准查新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祝源泽</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34</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畜牧兽医</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农安县巴吉垒镇综合服务中心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兽医师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调查、标准查新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隋宗辉</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39</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畜牧兽医</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农安县新农乡综合服务中心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兽医师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kern w:val="2"/>
                <w:sz w:val="20"/>
                <w:szCs w:val="20"/>
                <w:lang w:val="en-US" w:eastAsia="zh-CN" w:bidi="ar-SA"/>
              </w:rPr>
            </w:pPr>
            <w:r>
              <w:rPr>
                <w:rFonts w:hint="eastAsia" w:cs="宋体" w:asciiTheme="minorEastAsia" w:hAnsiTheme="minorEastAsia"/>
                <w:color w:val="auto"/>
                <w:sz w:val="20"/>
                <w:szCs w:val="20"/>
                <w:lang w:val="en-US" w:eastAsia="zh-CN"/>
              </w:rPr>
              <w:t>调查、标准查新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eastAsiaTheme="minorEastAsia"/>
                <w:color w:val="auto"/>
                <w:sz w:val="20"/>
                <w:szCs w:val="20"/>
                <w:lang w:val="en-US" w:eastAsia="zh-CN"/>
              </w:rPr>
            </w:pPr>
            <w:r>
              <w:rPr>
                <w:rFonts w:hint="eastAsia" w:cs="宋体" w:asciiTheme="minorEastAsia" w:hAnsiTheme="minorEastAsia"/>
                <w:color w:val="auto"/>
                <w:sz w:val="20"/>
                <w:szCs w:val="20"/>
                <w:lang w:val="en-US"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张微微</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女</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38</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农安县永安乡综合服务中心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兽医师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文字、格式校准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eastAsia="zh-CN"/>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陈国录</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48</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畜牧</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农安县烧锅镇综合服务中心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高级兽医师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文字、格式校准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6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eastAsia="zh-CN"/>
              </w:rPr>
            </w:pPr>
            <w:r>
              <w:rPr>
                <w:rFonts w:hint="eastAsia" w:cs="宋体" w:asciiTheme="minorEastAsia" w:hAnsiTheme="minorEastAsia"/>
                <w:color w:val="auto"/>
                <w:sz w:val="20"/>
                <w:szCs w:val="20"/>
                <w:lang w:eastAsia="zh-CN"/>
              </w:rPr>
              <w:t>组员</w:t>
            </w:r>
          </w:p>
        </w:tc>
        <w:tc>
          <w:tcPr>
            <w:tcW w:w="83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佟兴吉</w:t>
            </w:r>
          </w:p>
        </w:tc>
        <w:tc>
          <w:tcPr>
            <w:tcW w:w="719"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男</w:t>
            </w:r>
          </w:p>
        </w:tc>
        <w:tc>
          <w:tcPr>
            <w:tcW w:w="678"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default"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46</w:t>
            </w:r>
          </w:p>
        </w:tc>
        <w:tc>
          <w:tcPr>
            <w:tcW w:w="822"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动物医学</w:t>
            </w:r>
          </w:p>
        </w:tc>
        <w:tc>
          <w:tcPr>
            <w:tcW w:w="1953"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农安县哈拉海镇综合服务中心</w:t>
            </w:r>
          </w:p>
        </w:tc>
        <w:tc>
          <w:tcPr>
            <w:tcW w:w="87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兽医师</w:t>
            </w:r>
          </w:p>
        </w:tc>
        <w:tc>
          <w:tcPr>
            <w:tcW w:w="1911" w:type="dxa"/>
            <w:vAlign w:val="center"/>
          </w:tcPr>
          <w:p>
            <w:pPr>
              <w:keepNext w:val="0"/>
              <w:keepLines w:val="0"/>
              <w:pageBreakBefore w:val="0"/>
              <w:widowControl w:val="0"/>
              <w:kinsoku/>
              <w:wordWrap/>
              <w:overflowPunct/>
              <w:topLinePunct w:val="0"/>
              <w:autoSpaceDE/>
              <w:autoSpaceDN/>
              <w:bidi w:val="0"/>
              <w:adjustRightInd/>
              <w:snapToGrid/>
              <w:spacing w:beforeAutospacing="0" w:afterAutospacing="0" w:line="320" w:lineRule="exact"/>
              <w:jc w:val="center"/>
              <w:textAlignment w:val="auto"/>
              <w:rPr>
                <w:rFonts w:hint="eastAsia" w:cs="宋体" w:asciiTheme="minorEastAsia" w:hAnsiTheme="minorEastAsia"/>
                <w:color w:val="auto"/>
                <w:sz w:val="20"/>
                <w:szCs w:val="20"/>
                <w:lang w:val="en-US" w:eastAsia="zh-CN"/>
              </w:rPr>
            </w:pPr>
            <w:r>
              <w:rPr>
                <w:rFonts w:hint="eastAsia" w:cs="宋体" w:asciiTheme="minorEastAsia" w:hAnsiTheme="minorEastAsia"/>
                <w:color w:val="auto"/>
                <w:sz w:val="20"/>
                <w:szCs w:val="20"/>
                <w:lang w:val="en-US" w:eastAsia="zh-CN"/>
              </w:rPr>
              <w:t>调查、标准查新</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2、调查研究阶段和起草阶段</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接到市市场监督管理局的正式立项任务后，标准起草小组立即开展了调查研究工作和标准的查新工作，先后对我省的</w:t>
      </w:r>
      <w:r>
        <w:rPr>
          <w:rFonts w:hint="eastAsia" w:ascii="宋体" w:hAnsi="宋体" w:eastAsia="宋体" w:cs="宋体"/>
          <w:b w:val="0"/>
          <w:bCs w:val="0"/>
          <w:color w:val="auto"/>
          <w:kern w:val="0"/>
          <w:sz w:val="21"/>
          <w:szCs w:val="21"/>
          <w:highlight w:val="none"/>
          <w:lang w:val="en-US" w:eastAsia="zh-CN"/>
        </w:rPr>
        <w:t>长春、延吉、白城和四平四个国家级核心种公</w:t>
      </w:r>
      <w:r>
        <w:rPr>
          <w:rFonts w:hint="eastAsia" w:ascii="宋体" w:hAnsi="宋体" w:eastAsia="宋体" w:cs="宋体"/>
          <w:b w:val="0"/>
          <w:bCs w:val="0"/>
          <w:color w:val="auto"/>
          <w:kern w:val="0"/>
          <w:sz w:val="21"/>
          <w:szCs w:val="21"/>
          <w:lang w:val="en-US" w:eastAsia="zh-CN"/>
        </w:rPr>
        <w:t>牛养殖场进行了调研和调查，对其现阶段种公牛牛舍情况进行摸底排查，</w:t>
      </w:r>
      <w:r>
        <w:rPr>
          <w:rFonts w:ascii="Calibri" w:hAnsi="Calibri"/>
          <w:color w:val="auto"/>
          <w:szCs w:val="21"/>
        </w:rPr>
        <w:t>针对不同饲养规模和生产工艺，收集和整理一线肉牛养殖企业人员的建议</w:t>
      </w:r>
      <w:r>
        <w:rPr>
          <w:rFonts w:hint="eastAsia" w:ascii="Calibri" w:hAnsi="Calibri"/>
          <w:color w:val="auto"/>
          <w:szCs w:val="21"/>
          <w:lang w:eastAsia="zh-CN"/>
        </w:rPr>
        <w:t>。</w:t>
      </w:r>
      <w:r>
        <w:rPr>
          <w:rFonts w:hint="eastAsia" w:ascii="宋体" w:hAnsi="宋体" w:eastAsia="宋体" w:cs="宋体"/>
          <w:b w:val="0"/>
          <w:bCs w:val="0"/>
          <w:color w:val="auto"/>
          <w:kern w:val="0"/>
          <w:sz w:val="21"/>
          <w:szCs w:val="21"/>
          <w:lang w:val="en-US" w:eastAsia="zh-CN"/>
        </w:rPr>
        <w:t>同时与当地畜牧部门及企业进行了座谈，对标准内容进行了研究和讨论。起草人员通过</w:t>
      </w:r>
      <w:r>
        <w:rPr>
          <w:rFonts w:ascii="Calibri" w:hAnsi="Calibri"/>
          <w:color w:val="auto"/>
          <w:szCs w:val="21"/>
        </w:rPr>
        <w:t>收集国内外肉牛标准化养殖场相关标准资料</w:t>
      </w:r>
      <w:r>
        <w:rPr>
          <w:rFonts w:hint="eastAsia" w:ascii="Calibri" w:hAnsi="Calibri"/>
          <w:color w:val="auto"/>
          <w:szCs w:val="21"/>
          <w:lang w:eastAsia="zh-CN"/>
        </w:rPr>
        <w:t>，</w:t>
      </w:r>
      <w:r>
        <w:rPr>
          <w:rFonts w:hint="eastAsia" w:ascii="宋体" w:hAnsi="宋体" w:eastAsia="宋体" w:cs="宋体"/>
          <w:b w:val="0"/>
          <w:bCs w:val="0"/>
          <w:color w:val="auto"/>
          <w:kern w:val="0"/>
          <w:sz w:val="21"/>
          <w:szCs w:val="21"/>
          <w:lang w:val="en-US" w:eastAsia="zh-CN"/>
        </w:rPr>
        <w:t>查阅标准制定的相关法律法规以及规范性文件，边调研、边起草，通过近年来对全省各品种种公牛情况调研，结合工作实际，查阅大量相关资料后，起草形成标准讨论稿，经过项目小组分析讨论，完成了标准文本和编制说明初稿的编写，并</w:t>
      </w:r>
      <w:r>
        <w:rPr>
          <w:rFonts w:ascii="Calibri" w:hAnsi="Calibri"/>
          <w:color w:val="auto"/>
          <w:szCs w:val="21"/>
        </w:rPr>
        <w:t>组织标准内容的研讨</w:t>
      </w:r>
      <w:r>
        <w:rPr>
          <w:rFonts w:hint="eastAsia" w:ascii="Calibri" w:hAnsi="Calibri"/>
          <w:color w:val="auto"/>
          <w:szCs w:val="21"/>
          <w:lang w:val="en-US" w:eastAsia="zh-CN"/>
        </w:rPr>
        <w:t>及</w:t>
      </w:r>
      <w:r>
        <w:rPr>
          <w:rFonts w:ascii="Calibri" w:hAnsi="Calibri"/>
          <w:color w:val="auto"/>
          <w:szCs w:val="21"/>
        </w:rPr>
        <w:t>进一步完善，</w:t>
      </w:r>
      <w:r>
        <w:rPr>
          <w:rFonts w:hint="eastAsia" w:ascii="宋体" w:hAnsi="宋体" w:eastAsia="宋体" w:cs="宋体"/>
          <w:b w:val="0"/>
          <w:bCs w:val="0"/>
          <w:color w:val="auto"/>
          <w:kern w:val="0"/>
          <w:sz w:val="21"/>
          <w:szCs w:val="21"/>
          <w:lang w:val="en-US" w:eastAsia="zh-CN"/>
        </w:rPr>
        <w:t>形成征求意见稿。</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420" w:firstLineChars="200"/>
        <w:jc w:val="both"/>
        <w:textAlignment w:val="auto"/>
        <w:rPr>
          <w:rFonts w:hint="eastAsia" w:ascii="宋体" w:hAnsi="宋体" w:eastAsia="宋体" w:cs="宋体"/>
          <w:color w:val="auto"/>
          <w:kern w:val="0"/>
          <w:szCs w:val="21"/>
          <w:highlight w:val="none"/>
          <w:lang w:val="en-US" w:eastAsia="zh-CN"/>
        </w:rPr>
      </w:pP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lang w:val="en-US" w:eastAsia="zh-CN"/>
        </w:rPr>
        <w:t>四</w:t>
      </w:r>
      <w:r>
        <w:rPr>
          <w:rFonts w:hint="eastAsia" w:ascii="宋体" w:hAnsi="宋体" w:eastAsia="宋体" w:cs="宋体"/>
          <w:color w:val="auto"/>
          <w:kern w:val="0"/>
          <w:szCs w:val="21"/>
          <w:lang w:eastAsia="zh-CN"/>
        </w:rPr>
        <w:t>）</w:t>
      </w:r>
      <w:r>
        <w:rPr>
          <w:rFonts w:hint="eastAsia" w:ascii="宋体" w:hAnsi="宋体" w:eastAsia="宋体" w:cs="宋体"/>
          <w:color w:val="auto"/>
          <w:kern w:val="0"/>
          <w:szCs w:val="21"/>
        </w:rPr>
        <w:t>征求意见阶段</w:t>
      </w:r>
      <w:r>
        <w:rPr>
          <w:rFonts w:hint="eastAsia" w:ascii="宋体" w:hAnsi="宋体" w:eastAsia="宋体" w:cs="宋体"/>
          <w:color w:val="auto"/>
          <w:kern w:val="0"/>
          <w:szCs w:val="21"/>
          <w:highlight w:val="none"/>
        </w:rPr>
        <w:t>（2</w:t>
      </w:r>
      <w:r>
        <w:rPr>
          <w:rFonts w:hint="eastAsia" w:ascii="宋体" w:hAnsi="宋体" w:eastAsia="宋体" w:cs="宋体"/>
          <w:color w:val="auto"/>
          <w:kern w:val="0"/>
          <w:szCs w:val="21"/>
          <w:highlight w:val="none"/>
          <w:lang w:val="en-US" w:eastAsia="zh-CN"/>
        </w:rPr>
        <w:t>024年xx月-- 2024年xx月）</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1、网上公示征求意见</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kern w:val="0"/>
          <w:sz w:val="21"/>
          <w:szCs w:val="21"/>
          <w:lang w:val="en-US" w:eastAsia="zh-CN"/>
        </w:rPr>
        <w:t>根据《地方标准管理办法》有关要求，2024 年x月x日至2024年x月x日，本标准通过长春市市场</w:t>
      </w:r>
      <w:r>
        <w:rPr>
          <w:rFonts w:hint="eastAsia" w:ascii="宋体" w:hAnsi="宋体" w:eastAsia="宋体" w:cs="宋体"/>
          <w:b w:val="0"/>
          <w:bCs w:val="0"/>
          <w:color w:val="auto"/>
          <w:kern w:val="0"/>
          <w:sz w:val="21"/>
          <w:szCs w:val="21"/>
          <w:lang w:val="en-US" w:eastAsia="zh-CN"/>
        </w:rPr>
        <w:t>监督管理局网站向社会各界公开征求意见，公示期间无相关反馈意见。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2、线下征求意见</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面向</w:t>
      </w:r>
      <w:r>
        <w:rPr>
          <w:rFonts w:hint="eastAsia" w:ascii="宋体" w:hAnsi="宋体" w:eastAsia="宋体" w:cs="宋体"/>
          <w:color w:val="auto"/>
          <w:kern w:val="0"/>
          <w:sz w:val="21"/>
          <w:szCs w:val="21"/>
        </w:rPr>
        <w:t>吉林大学、吉林</w:t>
      </w:r>
      <w:r>
        <w:rPr>
          <w:rFonts w:hint="eastAsia" w:ascii="宋体" w:hAnsi="宋体" w:eastAsia="宋体" w:cs="宋体"/>
          <w:color w:val="auto"/>
          <w:kern w:val="0"/>
          <w:sz w:val="21"/>
          <w:szCs w:val="21"/>
          <w:lang w:eastAsia="zh-CN"/>
        </w:rPr>
        <w:t>农业科技学院</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吉林农业科技学院、</w:t>
      </w:r>
      <w:r>
        <w:rPr>
          <w:rFonts w:hint="eastAsia" w:ascii="宋体" w:hAnsi="宋体" w:eastAsia="宋体" w:cs="宋体"/>
          <w:color w:val="auto"/>
          <w:kern w:val="0"/>
          <w:sz w:val="21"/>
          <w:szCs w:val="21"/>
        </w:rPr>
        <w:t>长春</w:t>
      </w:r>
      <w:r>
        <w:rPr>
          <w:rFonts w:hint="eastAsia" w:ascii="宋体" w:hAnsi="宋体" w:eastAsia="宋体" w:cs="宋体"/>
          <w:color w:val="auto"/>
          <w:kern w:val="0"/>
          <w:sz w:val="21"/>
          <w:szCs w:val="21"/>
          <w:lang w:val="en-US" w:eastAsia="zh-CN"/>
        </w:rPr>
        <w:t>市农业科学院、吉林省畜牧兽医学会、种公牛站、肉牛核心育种长、长春市及下辖</w:t>
      </w:r>
      <w:r>
        <w:rPr>
          <w:rFonts w:hint="eastAsia" w:ascii="宋体" w:hAnsi="宋体" w:eastAsia="宋体" w:cs="宋体"/>
          <w:color w:val="auto"/>
          <w:kern w:val="0"/>
          <w:sz w:val="21"/>
          <w:szCs w:val="21"/>
        </w:rPr>
        <w:t>县（市、区）畜牧主管</w:t>
      </w:r>
      <w:r>
        <w:rPr>
          <w:rFonts w:hint="eastAsia" w:ascii="宋体" w:hAnsi="宋体" w:eastAsia="宋体" w:cs="宋体"/>
          <w:color w:val="auto"/>
          <w:kern w:val="0"/>
          <w:sz w:val="21"/>
          <w:szCs w:val="21"/>
          <w:lang w:val="en-US" w:eastAsia="zh-CN"/>
        </w:rPr>
        <w:t>技术支撑</w:t>
      </w:r>
      <w:r>
        <w:rPr>
          <w:rFonts w:hint="eastAsia" w:ascii="宋体" w:hAnsi="宋体" w:eastAsia="宋体" w:cs="宋体"/>
          <w:color w:val="auto"/>
          <w:kern w:val="0"/>
          <w:sz w:val="21"/>
          <w:szCs w:val="21"/>
        </w:rPr>
        <w:t>部门等</w:t>
      </w:r>
      <w:r>
        <w:rPr>
          <w:rFonts w:hint="eastAsia" w:ascii="宋体" w:hAnsi="宋体" w:eastAsia="宋体" w:cs="宋体"/>
          <w:color w:val="auto"/>
          <w:kern w:val="0"/>
          <w:sz w:val="21"/>
          <w:szCs w:val="21"/>
          <w:lang w:val="en-US" w:eastAsia="zh-CN"/>
        </w:rPr>
        <w:t>10多</w:t>
      </w:r>
      <w:r>
        <w:rPr>
          <w:rFonts w:hint="eastAsia" w:ascii="宋体" w:hAnsi="宋体" w:eastAsia="宋体" w:cs="宋体"/>
          <w:color w:val="auto"/>
          <w:kern w:val="0"/>
          <w:sz w:val="21"/>
          <w:szCs w:val="21"/>
        </w:rPr>
        <w:t>家相关单位</w:t>
      </w:r>
      <w:r>
        <w:rPr>
          <w:rFonts w:hint="eastAsia" w:ascii="宋体" w:hAnsi="宋体" w:eastAsia="宋体" w:cs="宋体"/>
          <w:color w:val="auto"/>
          <w:kern w:val="0"/>
          <w:sz w:val="21"/>
          <w:szCs w:val="21"/>
          <w:lang w:val="en-US" w:eastAsia="zh-CN"/>
        </w:rPr>
        <w:t>的20名专家</w:t>
      </w:r>
      <w:r>
        <w:rPr>
          <w:rFonts w:hint="eastAsia" w:ascii="宋体" w:hAnsi="宋体" w:eastAsia="宋体" w:cs="宋体"/>
          <w:color w:val="auto"/>
          <w:kern w:val="0"/>
          <w:sz w:val="21"/>
          <w:szCs w:val="21"/>
        </w:rPr>
        <w:t>征求意见，收到反馈意见表</w:t>
      </w:r>
      <w:r>
        <w:rPr>
          <w:rFonts w:hint="eastAsia" w:ascii="宋体" w:hAnsi="宋体" w:eastAsia="宋体" w:cs="宋体"/>
          <w:color w:val="auto"/>
          <w:kern w:val="0"/>
          <w:sz w:val="21"/>
          <w:szCs w:val="21"/>
          <w:lang w:val="en-US" w:eastAsia="zh-CN"/>
        </w:rPr>
        <w:t>20</w:t>
      </w:r>
      <w:r>
        <w:rPr>
          <w:rFonts w:hint="eastAsia" w:ascii="宋体" w:hAnsi="宋体" w:eastAsia="宋体" w:cs="宋体"/>
          <w:color w:val="auto"/>
          <w:kern w:val="0"/>
          <w:sz w:val="21"/>
          <w:szCs w:val="21"/>
        </w:rPr>
        <w:t>份。</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lang w:val="en-US" w:eastAsia="zh-CN"/>
        </w:rPr>
        <w:t>3、</w:t>
      </w:r>
      <w:r>
        <w:rPr>
          <w:rFonts w:hint="eastAsia" w:ascii="宋体" w:hAnsi="宋体" w:eastAsia="宋体" w:cs="宋体"/>
          <w:color w:val="auto"/>
          <w:kern w:val="0"/>
          <w:sz w:val="21"/>
          <w:szCs w:val="21"/>
        </w:rPr>
        <w:t>专家研讨会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default" w:ascii="宋体" w:hAnsi="宋体" w:eastAsia="宋体" w:cs="宋体"/>
          <w:kern w:val="0"/>
          <w:sz w:val="21"/>
          <w:szCs w:val="21"/>
          <w:lang w:val="en-US" w:eastAsia="zh-CN"/>
        </w:rPr>
      </w:pPr>
      <w:r>
        <w:rPr>
          <w:rFonts w:hint="eastAsia" w:ascii="宋体" w:hAnsi="宋体" w:eastAsia="宋体" w:cs="宋体"/>
          <w:color w:val="auto"/>
          <w:kern w:val="0"/>
          <w:sz w:val="21"/>
          <w:szCs w:val="21"/>
        </w:rPr>
        <w:t>组织召开了专家研讨会。来自</w:t>
      </w:r>
      <w:r>
        <w:rPr>
          <w:rFonts w:hint="eastAsia" w:ascii="宋体" w:hAnsi="宋体" w:eastAsia="宋体" w:cs="宋体"/>
          <w:color w:val="auto"/>
          <w:kern w:val="0"/>
          <w:sz w:val="21"/>
          <w:szCs w:val="21"/>
          <w:lang w:val="en-US" w:eastAsia="zh-CN"/>
        </w:rPr>
        <w:t>吉林大学、吉林农业科技学院、吉林省动物疫病预防控制中心、吉林省畜牧兽医科学研究院、吉林省农业科学院、长春市农业科学院、吉林省畜牧兽医学会</w:t>
      </w:r>
      <w:r>
        <w:rPr>
          <w:rFonts w:hint="eastAsia" w:ascii="宋体" w:hAnsi="宋体" w:eastAsia="宋体" w:cs="宋体"/>
          <w:color w:val="auto"/>
          <w:kern w:val="0"/>
          <w:sz w:val="21"/>
          <w:szCs w:val="21"/>
        </w:rPr>
        <w:t>等</w:t>
      </w:r>
      <w:bookmarkStart w:id="5" w:name="_GoBack"/>
      <w:r>
        <w:rPr>
          <w:rFonts w:hint="eastAsia" w:ascii="宋体" w:hAnsi="宋体" w:eastAsia="宋体" w:cs="宋体"/>
          <w:color w:val="auto"/>
          <w:kern w:val="0"/>
          <w:sz w:val="21"/>
          <w:szCs w:val="21"/>
          <w:highlight w:val="none"/>
          <w:lang w:val="en-US" w:eastAsia="zh-CN"/>
        </w:rPr>
        <w:t>X</w:t>
      </w:r>
      <w:bookmarkEnd w:id="5"/>
      <w:r>
        <w:rPr>
          <w:rFonts w:hint="eastAsia" w:ascii="宋体" w:hAnsi="宋体" w:eastAsia="宋体" w:cs="宋体"/>
          <w:color w:val="auto"/>
          <w:kern w:val="0"/>
          <w:sz w:val="21"/>
          <w:szCs w:val="21"/>
          <w:lang w:val="en-US" w:eastAsia="zh-CN"/>
        </w:rPr>
        <w:t>家</w:t>
      </w:r>
      <w:r>
        <w:rPr>
          <w:rFonts w:hint="eastAsia" w:ascii="宋体" w:hAnsi="宋体" w:eastAsia="宋体" w:cs="宋体"/>
          <w:color w:val="auto"/>
          <w:kern w:val="0"/>
          <w:sz w:val="21"/>
          <w:szCs w:val="21"/>
        </w:rPr>
        <w:t>单位的</w:t>
      </w:r>
      <w:r>
        <w:rPr>
          <w:rFonts w:hint="eastAsia" w:ascii="宋体" w:hAnsi="宋体" w:eastAsia="宋体" w:cs="宋体"/>
          <w:color w:val="auto"/>
          <w:kern w:val="0"/>
          <w:sz w:val="21"/>
          <w:szCs w:val="21"/>
          <w:lang w:val="en-US" w:eastAsia="zh-CN"/>
        </w:rPr>
        <w:t>X</w:t>
      </w:r>
      <w:r>
        <w:rPr>
          <w:rFonts w:hint="eastAsia" w:ascii="宋体" w:hAnsi="宋体" w:eastAsia="宋体" w:cs="宋体"/>
          <w:color w:val="auto"/>
          <w:kern w:val="0"/>
          <w:sz w:val="21"/>
          <w:szCs w:val="21"/>
        </w:rPr>
        <w:t>名专家对征求意见进行了详细研讨</w:t>
      </w:r>
      <w:r>
        <w:rPr>
          <w:rFonts w:hint="eastAsia" w:ascii="宋体" w:hAnsi="宋体" w:eastAsia="宋体" w:cs="宋体"/>
          <w:color w:val="auto"/>
          <w:kern w:val="0"/>
          <w:sz w:val="21"/>
          <w:szCs w:val="21"/>
          <w:lang w:eastAsia="zh-CN"/>
        </w:rPr>
        <w:t>，</w:t>
      </w:r>
      <w:r>
        <w:rPr>
          <w:rFonts w:hint="eastAsia" w:ascii="宋体" w:hAnsi="宋体" w:eastAsia="宋体" w:cs="宋体"/>
          <w:color w:val="auto"/>
          <w:kern w:val="0"/>
          <w:sz w:val="21"/>
          <w:szCs w:val="21"/>
          <w:lang w:val="en-US" w:eastAsia="zh-CN"/>
        </w:rPr>
        <w:t>归纳汇总后，意见建议共XX条，采纳XX条，未采纳XX条，</w:t>
      </w:r>
      <w:r>
        <w:rPr>
          <w:rFonts w:hint="eastAsia" w:ascii="宋体" w:hAnsi="宋体" w:eastAsia="宋体" w:cs="宋体"/>
          <w:color w:val="auto"/>
          <w:kern w:val="0"/>
          <w:sz w:val="21"/>
          <w:szCs w:val="21"/>
        </w:rPr>
        <w:t>未采纳原因详见表2。</w:t>
      </w:r>
      <w:r>
        <w:rPr>
          <w:rFonts w:hint="eastAsia" w:ascii="宋体" w:hAnsi="宋体" w:eastAsia="宋体" w:cs="宋体"/>
          <w:b w:val="0"/>
          <w:bCs w:val="0"/>
          <w:color w:val="auto"/>
          <w:kern w:val="0"/>
          <w:sz w:val="21"/>
          <w:szCs w:val="21"/>
          <w:lang w:val="en-US" w:eastAsia="zh-CN"/>
        </w:rPr>
        <w:t>未采纳意见已与提出专</w:t>
      </w:r>
      <w:r>
        <w:rPr>
          <w:rFonts w:hint="eastAsia" w:ascii="宋体" w:hAnsi="宋体" w:eastAsia="宋体" w:cs="宋体"/>
          <w:b w:val="0"/>
          <w:bCs w:val="0"/>
          <w:kern w:val="0"/>
          <w:sz w:val="21"/>
          <w:szCs w:val="21"/>
          <w:lang w:val="en-US" w:eastAsia="zh-CN"/>
        </w:rPr>
        <w:t>家进行沟通，已达成协调一致。</w:t>
      </w:r>
      <w:r>
        <w:rPr>
          <w:rFonts w:hint="eastAsia" w:ascii="宋体" w:hAnsi="宋体" w:eastAsia="宋体" w:cs="宋体"/>
          <w:kern w:val="0"/>
          <w:sz w:val="21"/>
          <w:szCs w:val="21"/>
          <w:lang w:val="en-US" w:eastAsia="zh-CN"/>
        </w:rPr>
        <w:t>专家研讨会后，形成标准文本和编制说明送审稿。</w:t>
      </w:r>
    </w:p>
    <w:p>
      <w:pPr>
        <w:spacing w:line="360" w:lineRule="auto"/>
        <w:jc w:val="center"/>
        <w:rPr>
          <w:kern w:val="0"/>
          <w:szCs w:val="21"/>
        </w:rPr>
      </w:pPr>
      <w:r>
        <w:rPr>
          <w:rFonts w:hint="eastAsia" w:ascii="宋体" w:hAnsi="宋体" w:eastAsia="宋体"/>
          <w:kern w:val="0"/>
          <w:szCs w:val="21"/>
        </w:rPr>
        <w:t xml:space="preserve">表2 </w:t>
      </w:r>
      <w:r>
        <w:rPr>
          <w:rFonts w:hint="eastAsia" w:ascii="宋体" w:hAnsi="宋体" w:eastAsia="宋体"/>
          <w:color w:val="auto"/>
          <w:kern w:val="0"/>
          <w:szCs w:val="21"/>
        </w:rPr>
        <w:t>《</w:t>
      </w:r>
      <w:r>
        <w:rPr>
          <w:rFonts w:hint="eastAsia" w:ascii="宋体" w:hAnsi="宋体" w:eastAsia="宋体" w:cs="宋体"/>
          <w:kern w:val="0"/>
          <w:szCs w:val="21"/>
          <w:lang w:val="en-US" w:eastAsia="zh-CN"/>
        </w:rPr>
        <w:t>肉牛牛舍建设规范 第2部分：种公牛</w:t>
      </w:r>
      <w:r>
        <w:rPr>
          <w:rFonts w:hint="eastAsia" w:ascii="宋体" w:hAnsi="宋体" w:eastAsia="宋体"/>
          <w:color w:val="auto"/>
          <w:kern w:val="0"/>
          <w:szCs w:val="21"/>
        </w:rPr>
        <w:t>》</w:t>
      </w:r>
      <w:r>
        <w:rPr>
          <w:rFonts w:hint="eastAsia" w:ascii="宋体" w:hAnsi="宋体" w:eastAsia="宋体"/>
          <w:kern w:val="0"/>
          <w:szCs w:val="21"/>
        </w:rPr>
        <w:t>征求意见汇总表</w:t>
      </w:r>
    </w:p>
    <w:tbl>
      <w:tblPr>
        <w:tblStyle w:val="6"/>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1772"/>
        <w:gridCol w:w="2460"/>
        <w:gridCol w:w="139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序号</w:t>
            </w:r>
          </w:p>
        </w:tc>
        <w:tc>
          <w:tcPr>
            <w:tcW w:w="910"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标准</w:t>
            </w:r>
          </w:p>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条文号</w:t>
            </w:r>
          </w:p>
        </w:tc>
        <w:tc>
          <w:tcPr>
            <w:tcW w:w="1772"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意见内容</w:t>
            </w:r>
          </w:p>
        </w:tc>
        <w:tc>
          <w:tcPr>
            <w:tcW w:w="2460"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提出单位（专家）</w:t>
            </w:r>
          </w:p>
        </w:tc>
        <w:tc>
          <w:tcPr>
            <w:tcW w:w="1395"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处理意见</w:t>
            </w:r>
          </w:p>
        </w:tc>
        <w:tc>
          <w:tcPr>
            <w:tcW w:w="1605"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2</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3</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4</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5</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6</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bl>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rPr>
        <w:t>（五）审查阶段</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年</w:t>
      </w:r>
      <w:r>
        <w:rPr>
          <w:rFonts w:hint="eastAsia" w:ascii="宋体" w:hAnsi="宋体" w:eastAsia="宋体" w:cs="宋体"/>
          <w:color w:val="auto"/>
          <w:kern w:val="0"/>
          <w:sz w:val="21"/>
          <w:szCs w:val="21"/>
          <w:lang w:val="en-US" w:eastAsia="zh-CN"/>
        </w:rPr>
        <w:t>X</w:t>
      </w:r>
      <w:r>
        <w:rPr>
          <w:rFonts w:hint="eastAsia" w:ascii="宋体" w:hAnsi="宋体" w:eastAsia="宋体" w:cs="宋体"/>
          <w:color w:val="auto"/>
          <w:kern w:val="0"/>
          <w:sz w:val="21"/>
          <w:szCs w:val="21"/>
        </w:rPr>
        <w:t>月</w:t>
      </w:r>
      <w:r>
        <w:rPr>
          <w:rFonts w:hint="eastAsia" w:ascii="宋体" w:hAnsi="宋体" w:eastAsia="宋体" w:cs="宋体"/>
          <w:color w:val="auto"/>
          <w:kern w:val="0"/>
          <w:sz w:val="21"/>
          <w:szCs w:val="21"/>
          <w:lang w:val="en-US" w:eastAsia="zh-CN"/>
        </w:rPr>
        <w:t>X</w:t>
      </w:r>
      <w:r>
        <w:rPr>
          <w:rFonts w:hint="eastAsia" w:ascii="宋体" w:hAnsi="宋体" w:eastAsia="宋体" w:cs="宋体"/>
          <w:color w:val="auto"/>
          <w:kern w:val="0"/>
          <w:sz w:val="21"/>
          <w:szCs w:val="21"/>
        </w:rPr>
        <w:t>日，</w:t>
      </w:r>
      <w:r>
        <w:rPr>
          <w:rFonts w:hint="eastAsia" w:ascii="宋体" w:hAnsi="宋体" w:eastAsia="宋体" w:cs="宋体"/>
          <w:color w:val="auto"/>
          <w:kern w:val="0"/>
          <w:sz w:val="21"/>
          <w:szCs w:val="21"/>
          <w:lang w:val="en-US" w:eastAsia="zh-CN"/>
        </w:rPr>
        <w:t>长春市</w:t>
      </w:r>
      <w:r>
        <w:rPr>
          <w:rFonts w:hint="eastAsia" w:ascii="宋体" w:hAnsi="宋体" w:eastAsia="宋体" w:cs="宋体"/>
          <w:color w:val="auto"/>
          <w:kern w:val="0"/>
          <w:sz w:val="21"/>
          <w:szCs w:val="21"/>
        </w:rPr>
        <w:t>市场监督管理</w:t>
      </w:r>
      <w:r>
        <w:rPr>
          <w:rFonts w:hint="eastAsia" w:ascii="宋体" w:hAnsi="宋体" w:eastAsia="宋体" w:cs="宋体"/>
          <w:color w:val="auto"/>
          <w:kern w:val="0"/>
          <w:sz w:val="21"/>
          <w:szCs w:val="21"/>
          <w:lang w:val="en-US" w:eastAsia="zh-CN"/>
        </w:rPr>
        <w:t>局</w:t>
      </w:r>
      <w:r>
        <w:rPr>
          <w:rFonts w:hint="eastAsia" w:ascii="宋体" w:hAnsi="宋体" w:eastAsia="宋体" w:cs="宋体"/>
          <w:color w:val="auto"/>
          <w:kern w:val="0"/>
          <w:sz w:val="21"/>
          <w:szCs w:val="21"/>
        </w:rPr>
        <w:t>、</w:t>
      </w:r>
      <w:r>
        <w:rPr>
          <w:rFonts w:hint="eastAsia" w:ascii="宋体" w:hAnsi="宋体" w:eastAsia="宋体" w:cs="宋体"/>
          <w:color w:val="auto"/>
          <w:kern w:val="0"/>
          <w:sz w:val="21"/>
          <w:szCs w:val="21"/>
          <w:lang w:val="en-US" w:eastAsia="zh-CN"/>
        </w:rPr>
        <w:t>长春市</w:t>
      </w:r>
      <w:r>
        <w:rPr>
          <w:rFonts w:hint="eastAsia" w:ascii="宋体" w:hAnsi="宋体" w:eastAsia="宋体" w:cs="宋体"/>
          <w:color w:val="auto"/>
          <w:kern w:val="0"/>
          <w:sz w:val="21"/>
          <w:szCs w:val="21"/>
        </w:rPr>
        <w:t>畜牧业管理局在共同组织召开了《</w:t>
      </w:r>
      <w:r>
        <w:rPr>
          <w:rFonts w:hint="eastAsia" w:ascii="宋体" w:hAnsi="宋体" w:eastAsia="宋体" w:cs="宋体"/>
          <w:kern w:val="0"/>
          <w:szCs w:val="21"/>
          <w:lang w:val="en-US" w:eastAsia="zh-CN"/>
        </w:rPr>
        <w:t>肉牛牛舍建设规范 第2部分：种公牛</w:t>
      </w:r>
      <w:r>
        <w:rPr>
          <w:rFonts w:hint="eastAsia" w:ascii="宋体" w:hAnsi="宋体" w:eastAsia="宋体" w:cs="宋体"/>
          <w:color w:val="auto"/>
          <w:kern w:val="0"/>
          <w:sz w:val="21"/>
          <w:szCs w:val="21"/>
        </w:rPr>
        <w:t>》（送审稿）审查会，来自</w:t>
      </w:r>
      <w:r>
        <w:rPr>
          <w:rFonts w:hint="eastAsia" w:ascii="宋体" w:hAnsi="宋体" w:eastAsia="宋体" w:cs="宋体"/>
          <w:color w:val="auto"/>
          <w:kern w:val="0"/>
          <w:sz w:val="21"/>
          <w:szCs w:val="21"/>
          <w:lang w:val="en-US" w:eastAsia="zh-CN"/>
        </w:rPr>
        <w:t>.............X家单位X</w:t>
      </w:r>
      <w:r>
        <w:rPr>
          <w:rFonts w:hint="eastAsia" w:ascii="宋体" w:hAnsi="宋体" w:eastAsia="宋体" w:cs="宋体"/>
          <w:color w:val="auto"/>
          <w:kern w:val="0"/>
          <w:sz w:val="21"/>
          <w:szCs w:val="21"/>
        </w:rPr>
        <w:t>位专家出席会议，并组成标准审查组。标准起草工作组汇报了标准制定情况及有关说明。审查专家组审阅了标准起草组提交的《</w:t>
      </w:r>
      <w:r>
        <w:rPr>
          <w:rFonts w:hint="eastAsia" w:ascii="宋体" w:hAnsi="宋体" w:eastAsia="宋体" w:cs="宋体"/>
          <w:kern w:val="0"/>
          <w:szCs w:val="21"/>
          <w:lang w:val="en-US" w:eastAsia="zh-CN"/>
        </w:rPr>
        <w:t>肉牛牛舍建设规范 第2部分：种公牛</w:t>
      </w:r>
      <w:r>
        <w:rPr>
          <w:rFonts w:hint="eastAsia" w:ascii="宋体" w:hAnsi="宋体" w:eastAsia="宋体" w:cs="宋体"/>
          <w:kern w:val="0"/>
          <w:sz w:val="21"/>
          <w:szCs w:val="21"/>
        </w:rPr>
        <w:t>》送审稿的标准文本、编制说明、征求意见汇总及处理等文件资料</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与会专家对《</w:t>
      </w:r>
      <w:r>
        <w:rPr>
          <w:rFonts w:hint="eastAsia" w:ascii="宋体" w:hAnsi="宋体" w:eastAsia="宋体" w:cs="宋体"/>
          <w:kern w:val="0"/>
          <w:szCs w:val="21"/>
          <w:lang w:val="en-US" w:eastAsia="zh-CN"/>
        </w:rPr>
        <w:t>肉牛牛舍建设规范 第2部分：种公牛</w:t>
      </w:r>
      <w:r>
        <w:rPr>
          <w:rFonts w:hint="eastAsia" w:ascii="宋体" w:hAnsi="宋体" w:eastAsia="宋体" w:cs="宋体"/>
          <w:kern w:val="0"/>
          <w:sz w:val="21"/>
          <w:szCs w:val="21"/>
        </w:rPr>
        <w:t>》文本进行了逐章逐条地审查，并提出了修改意见。经充分讨论，审查专家组一致同意通过《</w:t>
      </w:r>
      <w:r>
        <w:rPr>
          <w:rFonts w:hint="eastAsia" w:ascii="宋体" w:hAnsi="宋体" w:eastAsia="宋体" w:cs="宋体"/>
          <w:kern w:val="0"/>
          <w:szCs w:val="21"/>
          <w:lang w:val="en-US" w:eastAsia="zh-CN"/>
        </w:rPr>
        <w:t>肉牛牛舍建设规范 第2部分：种公牛</w:t>
      </w:r>
      <w:r>
        <w:rPr>
          <w:rFonts w:hint="eastAsia" w:ascii="宋体" w:hAnsi="宋体" w:eastAsia="宋体" w:cs="宋体"/>
          <w:kern w:val="0"/>
          <w:sz w:val="21"/>
          <w:szCs w:val="21"/>
        </w:rPr>
        <w:t>》的审定。</w:t>
      </w:r>
    </w:p>
    <w:p>
      <w:pPr>
        <w:keepNext w:val="0"/>
        <w:keepLines w:val="0"/>
        <w:pageBreakBefore w:val="0"/>
        <w:numPr>
          <w:ilvl w:val="0"/>
          <w:numId w:val="0"/>
        </w:numPr>
        <w:kinsoku/>
        <w:wordWrap/>
        <w:overflowPunct/>
        <w:topLinePunct w:val="0"/>
        <w:bidi w:val="0"/>
        <w:snapToGrid/>
        <w:spacing w:beforeAutospacing="0" w:afterAutospacing="0" w:line="360" w:lineRule="auto"/>
        <w:ind w:left="0" w:leftChars="0" w:firstLine="420" w:firstLineChars="200"/>
        <w:textAlignment w:val="auto"/>
        <w:rPr>
          <w:rFonts w:ascii="黑体" w:hAnsi="黑体" w:eastAsia="黑体"/>
          <w:color w:val="auto"/>
          <w:szCs w:val="21"/>
        </w:rPr>
      </w:pPr>
      <w:r>
        <w:rPr>
          <w:rFonts w:hint="eastAsia" w:ascii="黑体" w:hAnsi="黑体" w:eastAsia="黑体" w:cs="宋体"/>
          <w:color w:val="auto"/>
          <w:kern w:val="2"/>
          <w:sz w:val="21"/>
          <w:szCs w:val="21"/>
          <w:lang w:val="en-US" w:eastAsia="zh-CN" w:bidi="ar-SA"/>
        </w:rPr>
        <w:t>四、</w:t>
      </w:r>
      <w:r>
        <w:rPr>
          <w:rFonts w:ascii="黑体" w:hAnsi="黑体" w:eastAsia="黑体"/>
          <w:color w:val="auto"/>
          <w:szCs w:val="21"/>
        </w:rPr>
        <w:t>制</w:t>
      </w:r>
      <w:r>
        <w:rPr>
          <w:rFonts w:hint="eastAsia" w:ascii="黑体" w:hAnsi="黑体" w:eastAsia="黑体"/>
          <w:color w:val="auto"/>
          <w:szCs w:val="21"/>
          <w:lang w:val="en-US" w:eastAsia="zh-CN"/>
        </w:rPr>
        <w:t>定</w:t>
      </w:r>
      <w:r>
        <w:rPr>
          <w:rFonts w:ascii="黑体" w:hAnsi="黑体" w:eastAsia="黑体"/>
          <w:color w:val="auto"/>
          <w:szCs w:val="21"/>
        </w:rPr>
        <w:t>标准的原则和依据，与现行法律、法规、标准的关系</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（一）标准编制原则</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rPr>
      </w:pPr>
      <w:r>
        <w:rPr>
          <w:rFonts w:hint="eastAsia" w:ascii="宋体" w:hAnsi="宋体" w:eastAsia="宋体"/>
          <w:color w:val="auto"/>
          <w:kern w:val="0"/>
          <w:szCs w:val="21"/>
        </w:rPr>
        <w:t>标准编制遵循“科学性、统一性、协调性、适用性、一致性和规范性”原则，在广泛调查研究的基础上，参照国内有关标准和规范要求，通过多年实践验证，制定了本标准。</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Calibri" w:hAnsi="Calibri"/>
          <w:color w:val="auto"/>
          <w:szCs w:val="21"/>
        </w:rPr>
      </w:pPr>
      <w:r>
        <w:rPr>
          <w:rFonts w:ascii="Calibri" w:hAnsi="Calibri"/>
          <w:color w:val="auto"/>
          <w:szCs w:val="21"/>
        </w:rPr>
        <w:t>坚持理论与实践经验相结合原则，使本标准更便于操作与实施。坚持有利于加快畜牧业生产方式转变，深入推进畜禽标准化规模养殖，达到畜禽养殖场标准化创建要求的原则。</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（二）编制依据</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1、本标准依据GB/T 1.1</w:t>
      </w:r>
      <w:r>
        <w:rPr>
          <w:rFonts w:hint="eastAsia" w:ascii="宋体" w:hAnsi="宋体" w:eastAsia="宋体"/>
          <w:color w:val="auto"/>
          <w:kern w:val="0"/>
          <w:szCs w:val="21"/>
          <w:lang w:eastAsia="zh-CN"/>
        </w:rPr>
        <w:t>—</w:t>
      </w:r>
      <w:r>
        <w:rPr>
          <w:rFonts w:hint="eastAsia" w:ascii="宋体" w:hAnsi="宋体" w:eastAsia="宋体"/>
          <w:color w:val="auto"/>
          <w:kern w:val="0"/>
          <w:szCs w:val="21"/>
        </w:rPr>
        <w:t>2020《标准化工作导则 第1部分：标准的结构和编写规则》的要求和规定起草制定。</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2、本标准技术指标适用</w:t>
      </w:r>
      <w:r>
        <w:rPr>
          <w:rFonts w:hint="eastAsia" w:ascii="宋体" w:hAnsi="宋体" w:eastAsia="宋体"/>
          <w:color w:val="auto"/>
          <w:kern w:val="0"/>
          <w:szCs w:val="21"/>
          <w:lang w:val="en-US" w:eastAsia="zh-CN"/>
        </w:rPr>
        <w:t>于</w:t>
      </w:r>
      <w:r>
        <w:rPr>
          <w:rFonts w:hint="eastAsia" w:ascii="Times New Roman" w:hAnsi="Times New Roman" w:cs="Times New Roman"/>
          <w:color w:val="auto"/>
          <w:lang w:val="en-US" w:eastAsia="zh-CN"/>
        </w:rPr>
        <w:t>种公牛牛舍的规范化建设</w:t>
      </w:r>
      <w:r>
        <w:rPr>
          <w:rFonts w:hint="eastAsia" w:ascii="宋体" w:hAnsi="宋体" w:eastAsia="宋体"/>
          <w:color w:val="auto"/>
          <w:kern w:val="0"/>
          <w:szCs w:val="21"/>
        </w:rPr>
        <w:t>，在保证</w:t>
      </w:r>
      <w:r>
        <w:rPr>
          <w:rFonts w:hint="eastAsia" w:ascii="宋体" w:hAnsi="宋体" w:eastAsia="宋体"/>
          <w:color w:val="auto"/>
          <w:kern w:val="0"/>
          <w:szCs w:val="21"/>
          <w:lang w:val="en-US" w:eastAsia="zh-CN"/>
        </w:rPr>
        <w:t>适合北方寒冷气候</w:t>
      </w:r>
      <w:r>
        <w:rPr>
          <w:rFonts w:hint="eastAsia" w:ascii="宋体" w:hAnsi="宋体" w:eastAsia="宋体"/>
          <w:color w:val="auto"/>
          <w:kern w:val="0"/>
          <w:szCs w:val="21"/>
        </w:rPr>
        <w:t>的前提下，对</w:t>
      </w:r>
      <w:r>
        <w:rPr>
          <w:rFonts w:hint="eastAsia" w:ascii="宋体" w:hAnsi="宋体" w:eastAsia="宋体"/>
          <w:color w:val="auto"/>
          <w:kern w:val="0"/>
          <w:szCs w:val="21"/>
          <w:lang w:val="en-US" w:eastAsia="zh-CN"/>
        </w:rPr>
        <w:t>种公牛舍选址和建设标准</w:t>
      </w:r>
      <w:r>
        <w:rPr>
          <w:rFonts w:hint="eastAsia" w:ascii="宋体" w:hAnsi="宋体" w:eastAsia="宋体"/>
          <w:color w:val="auto"/>
          <w:kern w:val="0"/>
          <w:szCs w:val="21"/>
        </w:rPr>
        <w:t>作出规定，确保内容科学、准确，明确、具体，切实可行，具有可操作性。本标准各项要求的确立，主要参照《中华人民共和国畜牧法》《中华人民共和国动物防疫法》《吉林省人民代表大会常务委员会关于促进肉牛产业发展的决定》（省人大常委会公告第7号）等法律法规、文件和标准。根据标准需要，指出了本标准的适用范围，规定了</w:t>
      </w:r>
      <w:r>
        <w:rPr>
          <w:rFonts w:hint="eastAsia" w:ascii="宋体" w:hAnsi="宋体" w:eastAsia="宋体"/>
          <w:color w:val="auto"/>
          <w:kern w:val="0"/>
          <w:szCs w:val="21"/>
          <w:lang w:val="en-US" w:eastAsia="zh-CN"/>
        </w:rPr>
        <w:t>种公牛牛舍选址和建设的各项标准</w:t>
      </w:r>
      <w:r>
        <w:rPr>
          <w:rFonts w:hint="eastAsia" w:ascii="宋体" w:hAnsi="宋体" w:eastAsia="宋体"/>
          <w:color w:val="auto"/>
          <w:kern w:val="0"/>
          <w:szCs w:val="21"/>
        </w:rPr>
        <w:t>。在各项指标确定上，在参照国内</w:t>
      </w:r>
      <w:r>
        <w:rPr>
          <w:rFonts w:hint="eastAsia" w:ascii="宋体" w:hAnsi="宋体" w:eastAsia="宋体"/>
          <w:color w:val="auto"/>
          <w:kern w:val="0"/>
          <w:szCs w:val="21"/>
          <w:lang w:val="en-US" w:eastAsia="zh-CN"/>
        </w:rPr>
        <w:t>各个地区种公牛厂建设</w:t>
      </w:r>
      <w:r>
        <w:rPr>
          <w:rFonts w:hint="eastAsia" w:ascii="宋体" w:hAnsi="宋体" w:eastAsia="宋体"/>
          <w:color w:val="auto"/>
          <w:kern w:val="0"/>
          <w:szCs w:val="21"/>
        </w:rPr>
        <w:t>资料的基础上，重点根据我</w:t>
      </w:r>
      <w:r>
        <w:rPr>
          <w:rFonts w:hint="eastAsia" w:ascii="宋体" w:hAnsi="宋体" w:eastAsia="宋体"/>
          <w:color w:val="auto"/>
          <w:kern w:val="0"/>
          <w:szCs w:val="21"/>
          <w:lang w:val="en-US" w:eastAsia="zh-CN"/>
        </w:rPr>
        <w:t>省气候环境特点</w:t>
      </w:r>
      <w:r>
        <w:rPr>
          <w:rFonts w:hint="eastAsia" w:ascii="宋体" w:hAnsi="宋体" w:eastAsia="宋体"/>
          <w:color w:val="auto"/>
          <w:kern w:val="0"/>
          <w:szCs w:val="21"/>
        </w:rPr>
        <w:t>，依据实际生产情况，注重实用性。</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（三）与有关的现行法律、法规和标准的关系</w:t>
      </w:r>
    </w:p>
    <w:p>
      <w:pPr>
        <w:keepNext w:val="0"/>
        <w:keepLines w:val="0"/>
        <w:pageBreakBefore w:val="0"/>
        <w:kinsoku/>
        <w:wordWrap/>
        <w:overflowPunct/>
        <w:topLinePunct w:val="0"/>
        <w:bidi w:val="0"/>
        <w:snapToGrid/>
        <w:spacing w:beforeAutospacing="0" w:afterAutospacing="0" w:line="360" w:lineRule="auto"/>
        <w:ind w:firstLine="420" w:firstLineChars="200"/>
        <w:textAlignment w:val="auto"/>
        <w:rPr>
          <w:rFonts w:ascii="宋体" w:hAnsi="宋体" w:eastAsia="宋体"/>
          <w:color w:val="auto"/>
          <w:kern w:val="0"/>
          <w:szCs w:val="21"/>
        </w:rPr>
      </w:pPr>
      <w:r>
        <w:rPr>
          <w:rFonts w:hint="eastAsia" w:ascii="宋体" w:hAnsi="宋体" w:eastAsia="宋体"/>
          <w:color w:val="auto"/>
          <w:kern w:val="0"/>
          <w:szCs w:val="21"/>
        </w:rPr>
        <w:t>本标准未涉及相关的强制性国家标准。本标准与现行法律、法规和标准无冲突、矛盾，具备协调一致性。</w:t>
      </w:r>
    </w:p>
    <w:p>
      <w:pPr>
        <w:keepNext w:val="0"/>
        <w:keepLines w:val="0"/>
        <w:pageBreakBefore w:val="0"/>
        <w:numPr>
          <w:ilvl w:val="0"/>
          <w:numId w:val="0"/>
        </w:numPr>
        <w:kinsoku/>
        <w:wordWrap/>
        <w:overflowPunct/>
        <w:topLinePunct w:val="0"/>
        <w:bidi w:val="0"/>
        <w:snapToGrid/>
        <w:spacing w:beforeAutospacing="0" w:afterAutospacing="0" w:line="360" w:lineRule="auto"/>
        <w:ind w:left="0" w:leftChars="0" w:firstLine="420" w:firstLineChars="200"/>
        <w:contextualSpacing/>
        <w:textAlignment w:val="auto"/>
        <w:rPr>
          <w:rFonts w:eastAsia="黑体"/>
          <w:color w:val="auto"/>
          <w:kern w:val="0"/>
          <w:szCs w:val="21"/>
        </w:rPr>
      </w:pPr>
      <w:r>
        <w:rPr>
          <w:rFonts w:hint="eastAsia" w:eastAsia="黑体" w:cs="宋体"/>
          <w:color w:val="auto"/>
          <w:kern w:val="0"/>
          <w:sz w:val="21"/>
          <w:szCs w:val="21"/>
          <w:lang w:val="en-US" w:eastAsia="zh-CN" w:bidi="ar-SA"/>
        </w:rPr>
        <w:t>五</w:t>
      </w:r>
      <w:r>
        <w:rPr>
          <w:rFonts w:hint="eastAsia" w:ascii="等线" w:hAnsi="等线" w:eastAsia="黑体" w:cs="宋体"/>
          <w:color w:val="auto"/>
          <w:kern w:val="0"/>
          <w:sz w:val="21"/>
          <w:szCs w:val="21"/>
          <w:lang w:val="en-US" w:eastAsia="zh-CN" w:bidi="ar-SA"/>
        </w:rPr>
        <w:t>、</w:t>
      </w:r>
      <w:r>
        <w:rPr>
          <w:rFonts w:eastAsia="黑体"/>
          <w:color w:val="auto"/>
          <w:kern w:val="0"/>
          <w:szCs w:val="21"/>
        </w:rPr>
        <w:t>主要条款的说明，主要技术指标、参数、试验验证的论述</w:t>
      </w:r>
    </w:p>
    <w:p>
      <w:pPr>
        <w:keepNext w:val="0"/>
        <w:keepLines w:val="0"/>
        <w:pageBreakBefore w:val="0"/>
        <w:widowControl/>
        <w:kinsoku/>
        <w:wordWrap/>
        <w:overflowPunct/>
        <w:topLinePunct w:val="0"/>
        <w:bidi w:val="0"/>
        <w:adjustRightInd/>
        <w:snapToGrid/>
        <w:spacing w:line="360" w:lineRule="auto"/>
        <w:ind w:firstLine="420" w:firstLineChars="200"/>
        <w:textAlignment w:val="auto"/>
        <w:rPr>
          <w:rFonts w:ascii="Times New Roman" w:hAnsi="Times New Roman" w:cs="Times New Roman"/>
          <w:color w:val="auto"/>
        </w:rPr>
      </w:pPr>
      <w:r>
        <w:rPr>
          <w:rFonts w:hint="eastAsia" w:ascii="Times New Roman" w:hAnsi="Times New Roman" w:cs="Times New Roman"/>
          <w:color w:val="auto"/>
        </w:rPr>
        <w:t>本标准名称《</w:t>
      </w:r>
      <w:r>
        <w:rPr>
          <w:rFonts w:hint="eastAsia" w:ascii="宋体" w:hAnsi="宋体" w:eastAsia="宋体" w:cs="宋体"/>
          <w:kern w:val="0"/>
          <w:szCs w:val="21"/>
          <w:lang w:val="en-US" w:eastAsia="zh-CN"/>
        </w:rPr>
        <w:t>肉牛牛舍建设规范 第2部分：种公牛</w:t>
      </w:r>
      <w:r>
        <w:rPr>
          <w:rFonts w:hint="eastAsia" w:ascii="Times New Roman" w:hAnsi="Times New Roman" w:cs="Times New Roman"/>
          <w:color w:val="auto"/>
        </w:rPr>
        <w:t>》。</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cs="Times New Roman"/>
          <w:color w:val="auto"/>
        </w:rPr>
      </w:pPr>
      <w:r>
        <w:rPr>
          <w:rFonts w:hint="eastAsia" w:ascii="Times New Roman" w:hAnsi="Times New Roman" w:cs="Times New Roman"/>
          <w:color w:val="auto"/>
        </w:rPr>
        <w:t>本标准的规范性内容包括：</w:t>
      </w:r>
      <w:r>
        <w:rPr>
          <w:rFonts w:hint="eastAsia" w:ascii="Times New Roman" w:hAnsi="Times New Roman" w:cs="Times New Roman"/>
          <w:color w:val="auto"/>
          <w:lang w:val="en-US" w:eastAsia="zh-CN"/>
        </w:rPr>
        <w:t>选址与布局</w:t>
      </w:r>
      <w:r>
        <w:rPr>
          <w:rFonts w:hint="default" w:ascii="Times New Roman" w:hAnsi="Times New Roman" w:cs="Times New Roman"/>
          <w:color w:val="auto"/>
        </w:rPr>
        <w:t>、用地面积和牛群结构、</w:t>
      </w:r>
      <w:r>
        <w:rPr>
          <w:rFonts w:hint="default" w:ascii="Times New Roman" w:hAnsi="Times New Roman" w:cs="Times New Roman"/>
          <w:color w:val="auto"/>
          <w:lang w:val="en-US" w:eastAsia="zh-CN"/>
        </w:rPr>
        <w:t>牛舍</w:t>
      </w:r>
      <w:r>
        <w:rPr>
          <w:rFonts w:hint="default" w:ascii="Times New Roman" w:hAnsi="Times New Roman" w:cs="Times New Roman"/>
          <w:color w:val="auto"/>
        </w:rPr>
        <w:t>设施与设备</w:t>
      </w:r>
      <w:r>
        <w:rPr>
          <w:rFonts w:hint="eastAsia" w:ascii="Times New Roman" w:hAnsi="Times New Roman" w:cs="Times New Roman"/>
          <w:color w:val="auto"/>
          <w:lang w:val="en-US" w:eastAsia="zh-CN"/>
        </w:rPr>
        <w:t>及配套设施设备</w:t>
      </w:r>
      <w:r>
        <w:rPr>
          <w:rFonts w:hint="default" w:ascii="Times New Roman" w:hAnsi="Times New Roman" w:cs="Times New Roman"/>
          <w:color w:val="auto"/>
        </w:rPr>
        <w:t>。</w:t>
      </w:r>
      <w:r>
        <w:rPr>
          <w:rFonts w:hint="eastAsia" w:ascii="Times New Roman" w:hAnsi="Times New Roman" w:cs="Times New Roman"/>
          <w:color w:val="auto"/>
        </w:rPr>
        <w:t>部分内容主要参照《标准化养殖场 肉牛》（NY/T 2663-2014），绝大部分内容是</w:t>
      </w:r>
      <w:r>
        <w:rPr>
          <w:rFonts w:hint="eastAsia" w:ascii="Times New Roman" w:hAnsi="Times New Roman" w:cs="Times New Roman"/>
          <w:color w:val="auto"/>
          <w:lang w:eastAsia="zh-CN"/>
        </w:rPr>
        <w:t>标准起草工作组</w:t>
      </w:r>
      <w:r>
        <w:rPr>
          <w:rFonts w:hint="eastAsia" w:ascii="Times New Roman" w:hAnsi="Times New Roman" w:cs="Times New Roman"/>
          <w:color w:val="auto"/>
          <w:lang w:val="en-US" w:eastAsia="zh-CN"/>
        </w:rPr>
        <w:t>结合吉林省气候条件和不同地理实际情况进行分析研究，</w:t>
      </w:r>
      <w:r>
        <w:rPr>
          <w:rFonts w:hint="eastAsia" w:ascii="Times New Roman" w:hAnsi="Times New Roman" w:cs="Times New Roman"/>
          <w:color w:val="auto"/>
        </w:rPr>
        <w:t>在实际开展实施</w:t>
      </w:r>
      <w:r>
        <w:rPr>
          <w:rFonts w:hint="eastAsia" w:ascii="Times New Roman" w:hAnsi="Times New Roman" w:cs="Times New Roman"/>
          <w:color w:val="auto"/>
          <w:lang w:val="en-US" w:eastAsia="zh-CN"/>
        </w:rPr>
        <w:t>种公牛牛舍建设</w:t>
      </w:r>
      <w:r>
        <w:rPr>
          <w:rFonts w:hint="eastAsia" w:ascii="Times New Roman" w:hAnsi="Times New Roman" w:cs="Times New Roman"/>
          <w:color w:val="auto"/>
        </w:rPr>
        <w:t>过程中总结的成功经验和做法，后期经凝练形成本标准内容。</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一</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第4章 选址与布局</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参考农业农村部颁布的</w:t>
      </w:r>
      <w:r>
        <w:rPr>
          <w:rFonts w:hint="eastAsia" w:ascii="Times New Roman" w:hAnsi="Times New Roman" w:cs="Times New Roman"/>
          <w:color w:val="auto"/>
        </w:rPr>
        <w:t>《中华人民共和国畜牧法》</w:t>
      </w:r>
      <w:r>
        <w:rPr>
          <w:rFonts w:hint="default" w:ascii="Times New Roman" w:hAnsi="Times New Roman" w:cs="Times New Roman"/>
          <w:color w:val="auto"/>
        </w:rPr>
        <w:t>中的相关规定</w:t>
      </w:r>
      <w:r>
        <w:rPr>
          <w:rFonts w:hint="eastAsia" w:ascii="Times New Roman" w:hAnsi="Times New Roman" w:cs="Times New Roman"/>
          <w:color w:val="auto"/>
        </w:rPr>
        <w:t>和</w:t>
      </w:r>
      <w:r>
        <w:rPr>
          <w:rFonts w:hint="default" w:ascii="Times New Roman" w:hAnsi="Times New Roman" w:cs="Times New Roman"/>
          <w:color w:val="auto"/>
        </w:rPr>
        <w:t>《畜禽标识和养殖档案管理办法》中的要求</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种公牛牛舍</w:t>
      </w:r>
      <w:r>
        <w:rPr>
          <w:rFonts w:hint="default" w:ascii="Times New Roman" w:hAnsi="Times New Roman" w:cs="Times New Roman"/>
          <w:color w:val="auto"/>
        </w:rPr>
        <w:t>不应位于《中华人民共和国畜牧法》规定的禁止区域，应当符合国土空间规划，并遵守相关法律法规的规定。</w:t>
      </w:r>
      <w:r>
        <w:rPr>
          <w:rFonts w:hint="eastAsia" w:ascii="Times New Roman" w:hAnsi="Times New Roman" w:cs="Times New Roman"/>
          <w:color w:val="auto"/>
        </w:rPr>
        <w:t>肉牛场选址应符合当地畜牧业生产总体规划、土地利用发展规划、城乡建设发展规划和环境保护规划的要求，宜优先利用荒地建场。生活饮用水的水源保护区</w:t>
      </w:r>
      <w:r>
        <w:rPr>
          <w:rFonts w:hint="eastAsia" w:ascii="Times New Roman" w:hAnsi="Times New Roman" w:cs="Times New Roman"/>
          <w:color w:val="auto"/>
          <w:lang w:eastAsia="zh-CN"/>
        </w:rPr>
        <w:t>，</w:t>
      </w:r>
      <w:r>
        <w:rPr>
          <w:rFonts w:hint="eastAsia" w:ascii="Times New Roman" w:hAnsi="Times New Roman" w:cs="Times New Roman"/>
          <w:color w:val="auto"/>
        </w:rPr>
        <w:t>风景名胜区</w:t>
      </w:r>
      <w:r>
        <w:rPr>
          <w:rFonts w:hint="eastAsia" w:ascii="Times New Roman" w:hAnsi="Times New Roman" w:cs="Times New Roman"/>
          <w:color w:val="auto"/>
          <w:lang w:eastAsia="zh-CN"/>
        </w:rPr>
        <w:t>，</w:t>
      </w:r>
      <w:r>
        <w:rPr>
          <w:rFonts w:hint="eastAsia" w:ascii="Times New Roman" w:hAnsi="Times New Roman" w:cs="Times New Roman"/>
          <w:color w:val="auto"/>
        </w:rPr>
        <w:t>自然保护区的核心区和缓冲区</w:t>
      </w:r>
      <w:r>
        <w:rPr>
          <w:rFonts w:hint="eastAsia" w:ascii="Times New Roman" w:hAnsi="Times New Roman" w:cs="Times New Roman"/>
          <w:color w:val="auto"/>
          <w:lang w:eastAsia="zh-CN"/>
        </w:rPr>
        <w:t>，</w:t>
      </w:r>
      <w:r>
        <w:rPr>
          <w:rFonts w:hint="eastAsia" w:ascii="Times New Roman" w:hAnsi="Times New Roman" w:cs="Times New Roman"/>
          <w:color w:val="auto"/>
        </w:rPr>
        <w:t>城镇居民区、文化教育科学研究区等人口集中区域</w:t>
      </w:r>
      <w:r>
        <w:rPr>
          <w:rFonts w:hint="eastAsia" w:ascii="Times New Roman" w:hAnsi="Times New Roman" w:cs="Times New Roman"/>
          <w:color w:val="auto"/>
          <w:lang w:eastAsia="zh-CN"/>
        </w:rPr>
        <w:t>，</w:t>
      </w:r>
      <w:r>
        <w:rPr>
          <w:rFonts w:hint="eastAsia" w:ascii="Times New Roman" w:hAnsi="Times New Roman" w:cs="Times New Roman"/>
          <w:color w:val="auto"/>
        </w:rPr>
        <w:t>受洪水或山洪威胁及泥石流</w:t>
      </w:r>
      <w:r>
        <w:rPr>
          <w:rFonts w:hint="eastAsia" w:ascii="Times New Roman" w:hAnsi="Times New Roman" w:cs="Times New Roman"/>
          <w:color w:val="auto"/>
          <w:lang w:eastAsia="zh-CN"/>
        </w:rPr>
        <w:t>、</w:t>
      </w:r>
      <w:r>
        <w:rPr>
          <w:rFonts w:hint="eastAsia" w:ascii="Times New Roman" w:hAnsi="Times New Roman" w:cs="Times New Roman"/>
          <w:color w:val="auto"/>
        </w:rPr>
        <w:t>滑坡等自然灾害多发地带</w:t>
      </w:r>
      <w:r>
        <w:rPr>
          <w:rFonts w:hint="eastAsia" w:ascii="Times New Roman" w:hAnsi="Times New Roman" w:cs="Times New Roman"/>
          <w:color w:val="auto"/>
          <w:lang w:eastAsia="zh-CN"/>
        </w:rPr>
        <w:t>，</w:t>
      </w:r>
      <w:r>
        <w:rPr>
          <w:rFonts w:hint="eastAsia" w:ascii="Times New Roman" w:hAnsi="Times New Roman" w:cs="Times New Roman"/>
          <w:color w:val="auto"/>
        </w:rPr>
        <w:t>法律法规规定的其他禁养区城不应建</w:t>
      </w:r>
      <w:r>
        <w:rPr>
          <w:rFonts w:hint="eastAsia" w:ascii="Times New Roman" w:hAnsi="Times New Roman" w:cs="Times New Roman"/>
          <w:color w:val="auto"/>
          <w:lang w:val="en-US" w:eastAsia="zh-CN"/>
        </w:rPr>
        <w:t>种公牛牛舍。</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2、</w:t>
      </w:r>
      <w:r>
        <w:rPr>
          <w:rFonts w:hint="default" w:ascii="Times New Roman" w:hAnsi="Times New Roman" w:cs="Times New Roman"/>
          <w:color w:val="auto"/>
        </w:rPr>
        <w:t>具备《动物防疫条件合格证》，两年内无重大疫病和产品质量安全事件发生。</w:t>
      </w:r>
      <w:r>
        <w:rPr>
          <w:rFonts w:hint="eastAsia" w:ascii="Times New Roman" w:hAnsi="Times New Roman" w:cs="Times New Roman"/>
          <w:color w:val="auto"/>
        </w:rPr>
        <w:t>在县级人民政府畜牧兽医行政主管部门备案登记证明，按照农业部《畜禽标识和养殖档案管理办法》要求，取得畜禽标识代码，建立养殖档案。选址应符合《动物防疫条件审查办法》的规定，并对周边的行政区划、饲养环境、动物分布以及动物疫病的流行状况等进行风险评估，根据评估结果确认选址。使</w:t>
      </w:r>
      <w:r>
        <w:rPr>
          <w:rFonts w:hint="eastAsia" w:ascii="Times New Roman" w:hAnsi="Times New Roman" w:cs="Times New Roman"/>
          <w:color w:val="auto"/>
          <w:lang w:val="en-US" w:eastAsia="zh-CN"/>
        </w:rPr>
        <w:t>种公牛牛舍</w:t>
      </w:r>
      <w:r>
        <w:rPr>
          <w:rFonts w:hint="eastAsia" w:ascii="Times New Roman" w:hAnsi="Times New Roman" w:cs="Times New Roman"/>
          <w:color w:val="auto"/>
        </w:rPr>
        <w:t>的建设更加合法合规，弥补原基本要求的不足，实现顺利建成并合格投入使用。</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3、</w:t>
      </w:r>
      <w:r>
        <w:rPr>
          <w:rFonts w:hint="eastAsia" w:ascii="Times New Roman" w:hAnsi="Times New Roman" w:cs="Times New Roman"/>
          <w:color w:val="auto"/>
          <w:lang w:eastAsia="zh-CN"/>
        </w:rPr>
        <w:t>参照</w:t>
      </w:r>
      <w:r>
        <w:rPr>
          <w:rFonts w:hint="eastAsia" w:ascii="Times New Roman" w:hAnsi="Times New Roman" w:cs="Times New Roman"/>
          <w:color w:val="auto"/>
        </w:rPr>
        <w:t>现</w:t>
      </w:r>
      <w:r>
        <w:rPr>
          <w:rFonts w:hint="default" w:ascii="Times New Roman" w:hAnsi="Times New Roman" w:cs="Times New Roman"/>
          <w:color w:val="auto"/>
        </w:rPr>
        <w:t>行的《动物防疫条件审查办法》</w:t>
      </w:r>
      <w:r>
        <w:rPr>
          <w:rFonts w:hint="eastAsia" w:ascii="Times New Roman" w:hAnsi="Times New Roman" w:cs="Times New Roman"/>
          <w:color w:val="auto"/>
        </w:rPr>
        <w:t>、《中华人民共和国土地法》、《</w:t>
      </w:r>
      <w:r>
        <w:rPr>
          <w:rFonts w:hint="default" w:ascii="Times New Roman" w:hAnsi="Times New Roman" w:cs="Times New Roman"/>
          <w:color w:val="auto"/>
        </w:rPr>
        <w:t>中华人民共和国动物防疫法》</w:t>
      </w:r>
      <w:r>
        <w:rPr>
          <w:rFonts w:hint="eastAsia" w:ascii="Times New Roman" w:hAnsi="Times New Roman" w:cs="Times New Roman"/>
          <w:color w:val="auto"/>
        </w:rPr>
        <w:t>、</w:t>
      </w:r>
      <w:r>
        <w:rPr>
          <w:rFonts w:hint="default" w:ascii="Times New Roman" w:hAnsi="Times New Roman" w:cs="Times New Roman"/>
          <w:color w:val="auto"/>
        </w:rPr>
        <w:t>《中华人民共和国环境保护法》</w:t>
      </w:r>
      <w:r>
        <w:rPr>
          <w:rFonts w:hint="eastAsia" w:ascii="Times New Roman" w:hAnsi="Times New Roman" w:cs="Times New Roman"/>
          <w:color w:val="auto"/>
        </w:rPr>
        <w:t>，</w:t>
      </w:r>
      <w:r>
        <w:rPr>
          <w:rFonts w:hint="default" w:ascii="Times New Roman" w:hAnsi="Times New Roman" w:cs="Times New Roman"/>
          <w:color w:val="auto"/>
        </w:rPr>
        <w:t>《</w:t>
      </w:r>
      <w:r>
        <w:rPr>
          <w:rFonts w:hint="eastAsia" w:ascii="Times New Roman" w:hAnsi="Times New Roman" w:cs="Times New Roman"/>
          <w:color w:val="auto"/>
        </w:rPr>
        <w:t>中华人民共和国畜</w:t>
      </w:r>
      <w:r>
        <w:rPr>
          <w:rFonts w:hint="default" w:ascii="Times New Roman" w:hAnsi="Times New Roman" w:cs="Times New Roman"/>
          <w:color w:val="auto"/>
        </w:rPr>
        <w:t>牧法》</w:t>
      </w:r>
      <w:r>
        <w:rPr>
          <w:rFonts w:hint="eastAsia" w:ascii="Times New Roman" w:hAnsi="Times New Roman" w:cs="Times New Roman"/>
          <w:color w:val="auto"/>
        </w:rPr>
        <w:t>的新</w:t>
      </w:r>
      <w:r>
        <w:rPr>
          <w:rFonts w:hint="default" w:ascii="Times New Roman" w:hAnsi="Times New Roman" w:cs="Times New Roman"/>
          <w:color w:val="auto"/>
        </w:rPr>
        <w:t>要求</w:t>
      </w:r>
      <w:r>
        <w:rPr>
          <w:rFonts w:hint="eastAsia" w:ascii="Times New Roman" w:hAnsi="Times New Roman" w:cs="Times New Roman"/>
          <w:color w:val="auto"/>
        </w:rPr>
        <w:t>以及《</w:t>
      </w:r>
      <w:r>
        <w:rPr>
          <w:rFonts w:hint="default" w:ascii="Times New Roman" w:hAnsi="Times New Roman" w:cs="Times New Roman"/>
          <w:color w:val="auto"/>
        </w:rPr>
        <w:t>畜禽场场区设计技术规范</w:t>
      </w:r>
      <w:r>
        <w:rPr>
          <w:rFonts w:hint="eastAsia" w:ascii="Times New Roman" w:hAnsi="Times New Roman" w:cs="Times New Roman"/>
          <w:color w:val="auto"/>
        </w:rPr>
        <w:t>》（</w:t>
      </w:r>
      <w:r>
        <w:rPr>
          <w:rFonts w:hint="default" w:ascii="Times New Roman" w:hAnsi="Times New Roman" w:cs="Times New Roman"/>
          <w:color w:val="auto"/>
        </w:rPr>
        <w:t>NY/T 682-2023</w:t>
      </w:r>
      <w:r>
        <w:rPr>
          <w:rFonts w:hint="eastAsia" w:ascii="Times New Roman" w:hAnsi="Times New Roman" w:cs="Times New Roman"/>
          <w:color w:val="auto"/>
        </w:rPr>
        <w:t>）</w:t>
      </w:r>
      <w:r>
        <w:rPr>
          <w:rFonts w:hint="eastAsia" w:ascii="Times New Roman" w:hAnsi="Times New Roman" w:cs="Times New Roman"/>
          <w:color w:val="auto"/>
          <w:lang w:eastAsia="zh-CN"/>
        </w:rPr>
        <w:t>，</w:t>
      </w:r>
      <w:r>
        <w:rPr>
          <w:rFonts w:hint="default" w:ascii="Times New Roman" w:hAnsi="Times New Roman" w:cs="Times New Roman"/>
          <w:color w:val="auto"/>
        </w:rPr>
        <w:t>建设地点</w:t>
      </w:r>
      <w:r>
        <w:rPr>
          <w:rFonts w:hint="eastAsia" w:ascii="Times New Roman" w:hAnsi="Times New Roman" w:cs="Times New Roman"/>
          <w:color w:val="auto"/>
        </w:rPr>
        <w:t>处于城镇或居民建筑群常年主导风向的下风向处</w:t>
      </w:r>
      <w:r>
        <w:rPr>
          <w:rFonts w:hint="eastAsia" w:ascii="Times New Roman" w:hAnsi="Times New Roman" w:cs="Times New Roman"/>
          <w:color w:val="auto"/>
          <w:lang w:eastAsia="zh-CN"/>
        </w:rPr>
        <w:t>，</w:t>
      </w:r>
      <w:r>
        <w:rPr>
          <w:rFonts w:hint="default" w:ascii="Times New Roman" w:hAnsi="Times New Roman" w:cs="Times New Roman"/>
          <w:color w:val="auto"/>
        </w:rPr>
        <w:t>应选择背风向阳、地势高燥、交通便利、水源充足、供电可靠、地质满足工程建设要求、易于实施防疫的地址，坡度宜小于25°。</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4、</w:t>
      </w:r>
      <w:r>
        <w:rPr>
          <w:rFonts w:hint="default" w:ascii="Times New Roman" w:hAnsi="Times New Roman" w:cs="Times New Roman"/>
          <w:color w:val="auto"/>
          <w:lang w:val="en-US" w:eastAsia="zh-CN"/>
        </w:rPr>
        <w:t>种公牛</w:t>
      </w:r>
      <w:r>
        <w:rPr>
          <w:rFonts w:hint="default" w:ascii="Times New Roman" w:hAnsi="Times New Roman" w:cs="Times New Roman"/>
          <w:color w:val="auto"/>
        </w:rPr>
        <w:t>牛舍总面积应视</w:t>
      </w:r>
      <w:r>
        <w:rPr>
          <w:rFonts w:hint="default" w:ascii="Times New Roman" w:hAnsi="Times New Roman" w:cs="Times New Roman"/>
          <w:color w:val="auto"/>
          <w:lang w:val="en-US" w:eastAsia="zh-CN"/>
        </w:rPr>
        <w:t>养殖</w:t>
      </w:r>
      <w:r>
        <w:rPr>
          <w:rFonts w:hint="default" w:ascii="Times New Roman" w:hAnsi="Times New Roman" w:cs="Times New Roman"/>
          <w:color w:val="auto"/>
        </w:rPr>
        <w:t>数量而定，各舍间保持适当距离，合理规划布局，便于防火和防疫。</w:t>
      </w:r>
      <w:r>
        <w:rPr>
          <w:rFonts w:hint="eastAsia" w:ascii="Times New Roman" w:hAnsi="Times New Roman" w:cs="Times New Roman"/>
          <w:color w:val="auto"/>
        </w:rPr>
        <w:t>符合国家支持畜牧业持续健康发展的总体要求，有助于规范肉牛场建设，防控疫病风险，减少环境污染，保障食品安全，提高养殖效益。</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5、</w:t>
      </w:r>
      <w:r>
        <w:rPr>
          <w:rFonts w:hint="default" w:ascii="Times New Roman" w:hAnsi="Times New Roman" w:cs="Times New Roman"/>
          <w:color w:val="auto"/>
          <w:lang w:val="en-US" w:eastAsia="zh-CN"/>
        </w:rPr>
        <w:t>种公牛牛舍</w:t>
      </w:r>
      <w:r>
        <w:rPr>
          <w:rFonts w:hint="default" w:ascii="Times New Roman" w:hAnsi="Times New Roman" w:cs="Times New Roman"/>
          <w:color w:val="auto"/>
        </w:rPr>
        <w:t>应具有合理朝向，满足采光、通风要求，</w:t>
      </w:r>
      <w:r>
        <w:rPr>
          <w:rFonts w:hint="default" w:ascii="Times New Roman" w:hAnsi="Times New Roman" w:cs="Times New Roman"/>
          <w:color w:val="auto"/>
          <w:lang w:val="en-US" w:eastAsia="zh-CN"/>
        </w:rPr>
        <w:t>牛舍</w:t>
      </w:r>
      <w:r>
        <w:rPr>
          <w:rFonts w:hint="default" w:ascii="Times New Roman" w:hAnsi="Times New Roman" w:cs="Times New Roman"/>
          <w:color w:val="auto"/>
        </w:rPr>
        <w:t>长轴宜沿场区等高线布置。</w:t>
      </w:r>
      <w:r>
        <w:rPr>
          <w:rFonts w:hint="eastAsia" w:ascii="宋体" w:hAnsi="宋体" w:eastAsia="宋体"/>
          <w:kern w:val="0"/>
          <w:szCs w:val="21"/>
          <w:lang w:val="en-US" w:eastAsia="zh-CN"/>
        </w:rPr>
        <w:t>参考《动物防疫条件审查办法》和相关标准要求种公牛牛舍宜按照分隔式饲养模式设计，做到饲喂通道与清粪通道严格分开，无交叉。</w:t>
      </w:r>
    </w:p>
    <w:p>
      <w:pPr>
        <w:spacing w:line="360" w:lineRule="auto"/>
        <w:ind w:firstLine="420" w:firstLineChars="200"/>
        <w:rPr>
          <w:rFonts w:hint="eastAsia" w:ascii="宋体" w:hAnsi="宋体" w:eastAsia="宋体"/>
          <w:kern w:val="0"/>
          <w:szCs w:val="21"/>
          <w:lang w:val="en-US" w:eastAsia="zh-CN"/>
        </w:rPr>
      </w:pPr>
      <w:r>
        <w:rPr>
          <w:rFonts w:hint="eastAsia" w:ascii="Times New Roman" w:hAnsi="Times New Roman" w:cs="Times New Roman"/>
          <w:color w:val="auto"/>
          <w:lang w:val="en-US" w:eastAsia="zh-CN"/>
        </w:rPr>
        <w:t>6、</w:t>
      </w:r>
      <w:r>
        <w:rPr>
          <w:rFonts w:hint="default" w:ascii="Times New Roman" w:hAnsi="Times New Roman" w:cs="Times New Roman"/>
          <w:color w:val="auto"/>
        </w:rPr>
        <w:t>周围宜具备粪污消纳条件，粪肥就近就地还田利用，建设前需通过环境影响评价，应符合NY 391的要求。</w:t>
      </w:r>
      <w:r>
        <w:rPr>
          <w:rFonts w:hint="eastAsia" w:ascii="Times New Roman" w:hAnsi="Times New Roman" w:cs="Times New Roman"/>
          <w:color w:val="auto"/>
        </w:rPr>
        <w:t>这对规范肉牛养殖行业，保障生态环境与消费者健康，促进养殖业可持续发展具有重要意义。</w:t>
      </w:r>
      <w:r>
        <w:rPr>
          <w:rFonts w:hint="eastAsia" w:ascii="宋体" w:hAnsi="宋体" w:eastAsia="宋体"/>
          <w:kern w:val="0"/>
          <w:szCs w:val="21"/>
          <w:lang w:val="en-US" w:eastAsia="zh-CN"/>
        </w:rPr>
        <w:t>同时考虑到防疫和粪污处理要求，种公牛牛舍建设应位于养殖场生产区，处于粪污暂存或处理设施的上风向。</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二</w:t>
      </w: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第5章</w:t>
      </w:r>
      <w:r>
        <w:rPr>
          <w:rFonts w:hint="default" w:ascii="Times New Roman" w:hAnsi="Times New Roman" w:cs="Times New Roman"/>
          <w:color w:val="auto"/>
        </w:rPr>
        <w:t>用地面积和牛群结构</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用地面积</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rPr>
        <w:t>由于不同规模、不同地区、不同牧场在用地指标上差异很大，设计规模越大，相对用地面积越小；区域土地资源越紧缺，建设用地越少。因此，对于我国各地的牛场建设而言，一个相对可参照执行的用地规范是非常有必要的。为更好地确定肉牛场的用地要求，参考了《畜禽场场区设计技术规范》（NY/T 682-2023），确定了占地面积范围，有效地避免牛场建设的随意性和用地的不合理。</w:t>
      </w:r>
      <w:r>
        <w:rPr>
          <w:rFonts w:hint="default" w:ascii="Times New Roman" w:hAnsi="Times New Roman" w:cs="Times New Roman"/>
          <w:color w:val="auto"/>
        </w:rPr>
        <w:t>用地面积应根据</w:t>
      </w:r>
      <w:r>
        <w:rPr>
          <w:rFonts w:hint="default" w:ascii="Times New Roman" w:hAnsi="Times New Roman" w:cs="Times New Roman"/>
          <w:color w:val="auto"/>
          <w:lang w:val="en-US" w:eastAsia="zh-CN"/>
        </w:rPr>
        <w:t>种公牛</w:t>
      </w:r>
      <w:r>
        <w:rPr>
          <w:rFonts w:hint="default" w:ascii="Times New Roman" w:hAnsi="Times New Roman" w:cs="Times New Roman"/>
          <w:color w:val="auto"/>
        </w:rPr>
        <w:t>存栏量和用地指标进行测算。</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2、</w:t>
      </w:r>
      <w:r>
        <w:rPr>
          <w:rFonts w:hint="default" w:ascii="Times New Roman" w:hAnsi="Times New Roman" w:cs="Times New Roman"/>
          <w:color w:val="auto"/>
        </w:rPr>
        <w:t>牛群结构</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Times New Roman" w:hAnsi="Times New Roman" w:cs="Times New Roman"/>
          <w:color w:val="auto"/>
        </w:rPr>
      </w:pPr>
      <w:r>
        <w:rPr>
          <w:rFonts w:hint="default" w:ascii="Times New Roman" w:hAnsi="Times New Roman" w:cs="Times New Roman"/>
          <w:color w:val="auto"/>
        </w:rPr>
        <w:t>在</w:t>
      </w:r>
      <w:r>
        <w:rPr>
          <w:rFonts w:hint="default" w:ascii="Times New Roman" w:hAnsi="Times New Roman" w:cs="Times New Roman"/>
          <w:color w:val="auto"/>
          <w:lang w:val="en-US" w:eastAsia="zh-CN"/>
        </w:rPr>
        <w:t>种公牛场</w:t>
      </w:r>
      <w:r>
        <w:rPr>
          <w:rFonts w:hint="default" w:ascii="Times New Roman" w:hAnsi="Times New Roman" w:cs="Times New Roman"/>
          <w:color w:val="auto"/>
        </w:rPr>
        <w:t>中，可将牛群分为犊牛组、</w:t>
      </w:r>
      <w:r>
        <w:rPr>
          <w:rFonts w:hint="default" w:ascii="Times New Roman" w:hAnsi="Times New Roman" w:cs="Times New Roman"/>
          <w:color w:val="auto"/>
          <w:lang w:val="en-US" w:eastAsia="zh-CN"/>
        </w:rPr>
        <w:t>后备</w:t>
      </w:r>
      <w:r>
        <w:rPr>
          <w:rFonts w:hint="default" w:ascii="Times New Roman" w:hAnsi="Times New Roman" w:cs="Times New Roman"/>
          <w:color w:val="auto"/>
        </w:rPr>
        <w:t>牛组、成年牛组等。各组牛在整个牛群中所占比例，应根据生产方向、生产任务、使用年限、牛的成熟期等方面来决定。</w:t>
      </w:r>
      <w:r>
        <w:rPr>
          <w:rFonts w:hint="eastAsia" w:ascii="Times New Roman" w:hAnsi="Times New Roman" w:cs="Times New Roman"/>
          <w:color w:val="auto"/>
        </w:rPr>
        <w:t>合理的牛群结构是规模化牛场规划和建筑设计的前提，也是指导牛场生产管理和牛群周转的关键，牛群结构的好坏直接影响到牛场的经济效益。要使牛场高产、稳产，牛群要逐年更新，各年龄段的牛头数要有合适的比例，才能充分发挥出其生产能力。</w:t>
      </w:r>
    </w:p>
    <w:p>
      <w:pPr>
        <w:numPr>
          <w:ilvl w:val="0"/>
          <w:numId w:val="1"/>
        </w:numPr>
        <w:spacing w:line="360" w:lineRule="auto"/>
        <w:ind w:firstLine="420" w:firstLineChars="200"/>
        <w:jc w:val="left"/>
        <w:rPr>
          <w:rFonts w:hint="eastAsia" w:ascii="宋体" w:hAnsi="宋体" w:eastAsia="宋体"/>
          <w:kern w:val="0"/>
          <w:szCs w:val="21"/>
          <w:lang w:val="en-US" w:eastAsia="zh-CN"/>
        </w:rPr>
      </w:pPr>
      <w:r>
        <w:rPr>
          <w:rFonts w:hint="eastAsia" w:ascii="Times New Roman" w:hAnsi="Times New Roman" w:cs="Times New Roman"/>
          <w:color w:val="auto"/>
          <w:lang w:val="en-US" w:eastAsia="zh-CN"/>
        </w:rPr>
        <w:t xml:space="preserve">第6章 平面布局的屋顶样式 </w:t>
      </w:r>
    </w:p>
    <w:p>
      <w:pPr>
        <w:numPr>
          <w:ilvl w:val="-1"/>
          <w:numId w:val="0"/>
        </w:numPr>
        <w:spacing w:line="360" w:lineRule="auto"/>
        <w:ind w:firstLine="420" w:firstLineChars="200"/>
        <w:jc w:val="left"/>
        <w:rPr>
          <w:rFonts w:hint="eastAsia" w:ascii="宋体" w:hAnsi="宋体" w:eastAsia="宋体"/>
          <w:kern w:val="0"/>
          <w:szCs w:val="21"/>
          <w:lang w:val="en-US" w:eastAsia="zh-CN"/>
        </w:rPr>
      </w:pPr>
      <w:r>
        <w:rPr>
          <w:rFonts w:hint="eastAsia" w:ascii="宋体" w:hAnsi="宋体" w:eastAsia="宋体"/>
          <w:kern w:val="0"/>
          <w:szCs w:val="21"/>
          <w:lang w:val="en-US" w:eastAsia="zh-CN"/>
        </w:rPr>
        <w:t>通过走访调研勘验，现有牛场，目前种公牛舍主要有以下这些样式或组合形式，按屋顶形式分类主要有单坡式（见图1）和双坡式（见图2）。</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 xml:space="preserve"> </w:t>
      </w:r>
      <w:r>
        <w:rPr>
          <w:rFonts w:hint="eastAsia" w:ascii="宋体" w:hAnsi="宋体" w:eastAsia="宋体"/>
          <w:kern w:val="0"/>
          <w:szCs w:val="21"/>
          <w:lang w:val="en-US" w:eastAsia="zh-CN"/>
        </w:rPr>
        <w:drawing>
          <wp:inline distT="0" distB="0" distL="114300" distR="114300">
            <wp:extent cx="1686560" cy="520700"/>
            <wp:effectExtent l="0" t="0" r="5080" b="12700"/>
            <wp:docPr id="8" name="图片 8" descr="1720749525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20749525242"/>
                    <pic:cNvPicPr>
                      <a:picLocks noChangeAspect="1"/>
                    </pic:cNvPicPr>
                  </pic:nvPicPr>
                  <pic:blipFill>
                    <a:blip r:embed="rId4"/>
                    <a:stretch>
                      <a:fillRect/>
                    </a:stretch>
                  </pic:blipFill>
                  <pic:spPr>
                    <a:xfrm>
                      <a:off x="0" y="0"/>
                      <a:ext cx="1686560" cy="520700"/>
                    </a:xfrm>
                    <a:prstGeom prst="rect">
                      <a:avLst/>
                    </a:prstGeom>
                  </pic:spPr>
                </pic:pic>
              </a:graphicData>
            </a:graphic>
          </wp:inline>
        </w:drawing>
      </w:r>
      <w:r>
        <w:rPr>
          <w:rFonts w:hint="eastAsia" w:ascii="宋体" w:hAnsi="宋体" w:eastAsia="宋体"/>
          <w:kern w:val="0"/>
          <w:szCs w:val="21"/>
          <w:lang w:val="en-US" w:eastAsia="zh-CN"/>
        </w:rPr>
        <w:t xml:space="preserve">     </w:t>
      </w:r>
      <w:r>
        <w:rPr>
          <w:rFonts w:hint="eastAsia" w:ascii="宋体" w:hAnsi="宋体" w:eastAsia="宋体"/>
          <w:kern w:val="0"/>
          <w:szCs w:val="21"/>
          <w:lang w:val="en-US" w:eastAsia="zh-CN"/>
        </w:rPr>
        <w:drawing>
          <wp:inline distT="0" distB="0" distL="114300" distR="114300">
            <wp:extent cx="2787650" cy="524510"/>
            <wp:effectExtent l="0" t="0" r="1270" b="8890"/>
            <wp:docPr id="7" name="图片 7" descr="17207494638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20749463844"/>
                    <pic:cNvPicPr>
                      <a:picLocks noChangeAspect="1"/>
                    </pic:cNvPicPr>
                  </pic:nvPicPr>
                  <pic:blipFill>
                    <a:blip r:embed="rId5"/>
                    <a:stretch>
                      <a:fillRect/>
                    </a:stretch>
                  </pic:blipFill>
                  <pic:spPr>
                    <a:xfrm>
                      <a:off x="0" y="0"/>
                      <a:ext cx="2787650" cy="524510"/>
                    </a:xfrm>
                    <a:prstGeom prst="rect">
                      <a:avLst/>
                    </a:prstGeom>
                  </pic:spPr>
                </pic:pic>
              </a:graphicData>
            </a:graphic>
          </wp:inline>
        </w:drawing>
      </w:r>
      <w:r>
        <w:rPr>
          <w:rFonts w:hint="eastAsia" w:ascii="宋体" w:hAnsi="宋体" w:eastAsia="宋体"/>
          <w:kern w:val="0"/>
          <w:szCs w:val="21"/>
          <w:lang w:val="en-US" w:eastAsia="zh-CN"/>
        </w:rPr>
        <w:t xml:space="preserve"> </w:t>
      </w:r>
    </w:p>
    <w:p>
      <w:pPr>
        <w:spacing w:line="360" w:lineRule="auto"/>
        <w:ind w:firstLine="1260" w:firstLineChars="600"/>
        <w:rPr>
          <w:rFonts w:hint="eastAsia" w:ascii="宋体" w:hAnsi="宋体" w:eastAsia="宋体"/>
          <w:kern w:val="0"/>
          <w:szCs w:val="21"/>
          <w:lang w:val="en-US" w:eastAsia="zh-CN"/>
        </w:rPr>
      </w:pPr>
      <w:r>
        <w:rPr>
          <w:rFonts w:hint="eastAsia" w:ascii="宋体" w:hAnsi="宋体" w:eastAsia="宋体"/>
          <w:kern w:val="0"/>
          <w:szCs w:val="21"/>
          <w:lang w:val="en-US" w:eastAsia="zh-CN"/>
        </w:rPr>
        <w:t>图1 单坡式                             图2 双坡式</w:t>
      </w:r>
    </w:p>
    <w:p>
      <w:pPr>
        <w:keepNext w:val="0"/>
        <w:keepLines w:val="0"/>
        <w:pageBreakBefore w:val="0"/>
        <w:numPr>
          <w:ilvl w:val="0"/>
          <w:numId w:val="1"/>
        </w:numPr>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第7章牛</w:t>
      </w:r>
      <w:r>
        <w:rPr>
          <w:rFonts w:hint="default" w:ascii="Times New Roman" w:hAnsi="Times New Roman" w:cs="Times New Roman"/>
          <w:color w:val="auto"/>
          <w:lang w:val="en-US" w:eastAsia="zh-CN"/>
        </w:rPr>
        <w:t>舍</w:t>
      </w:r>
      <w:r>
        <w:rPr>
          <w:rFonts w:hint="default" w:ascii="Times New Roman" w:hAnsi="Times New Roman" w:cs="Times New Roman"/>
          <w:color w:val="auto"/>
        </w:rPr>
        <w:t>设施与设备</w:t>
      </w:r>
    </w:p>
    <w:p>
      <w:pPr>
        <w:keepNext w:val="0"/>
        <w:keepLines w:val="0"/>
        <w:pageBreakBefore w:val="0"/>
        <w:numPr>
          <w:ilvl w:val="0"/>
          <w:numId w:val="0"/>
        </w:numPr>
        <w:kinsoku/>
        <w:wordWrap/>
        <w:overflowPunct/>
        <w:topLinePunct w:val="0"/>
        <w:bidi w:val="0"/>
        <w:adjustRightInd/>
        <w:snapToGrid/>
        <w:spacing w:line="360" w:lineRule="auto"/>
        <w:ind w:firstLine="420" w:firstLineChars="200"/>
        <w:jc w:val="left"/>
        <w:textAlignment w:val="auto"/>
        <w:rPr>
          <w:rFonts w:hint="default" w:ascii="Times New Roman" w:hAnsi="Times New Roman" w:cs="Times New Roman"/>
          <w:color w:val="auto"/>
        </w:rPr>
      </w:pPr>
      <w:r>
        <w:rPr>
          <w:rFonts w:hint="eastAsia" w:ascii="宋体" w:hAnsi="宋体" w:eastAsia="宋体"/>
          <w:kern w:val="0"/>
          <w:szCs w:val="21"/>
          <w:lang w:val="en-US" w:eastAsia="zh-CN"/>
        </w:rPr>
        <w:t>牛舍建设应充分考虑长春地区的气候特点、环境特点、饲养模式等实际情况，对建筑面积、净高、地基、墙体、门窗等牛舍的主体结构，以及饲槽、牛床、围栏、粪污沟等配套设施进行了规范，明确了环境控制和配套工程。牛舍应为牛提供舒适的生活环境，夏季降温尤为重要，冬季保温的同时兼顾通风要求，环境质量应符合NY/T 388要求。由于牛瘤胃发酵会产生大量的热，并且牛全身被毛，对寒冷抵御能力较强，但是牛比较怕热和潮湿，温度过高会导致牛瘤胃微生物及消化酶活性下降，消化吸收受到影响，潮湿会导致牛皮肤病和腐蹄病发病率增高，因此肉牛养殖中牛舍应注意防潮和防暑，保证通风干燥。</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lang w:val="en-US" w:eastAsia="zh-CN"/>
        </w:rPr>
        <w:t>种公牛</w:t>
      </w:r>
      <w:r>
        <w:rPr>
          <w:rFonts w:hint="default" w:ascii="Times New Roman" w:hAnsi="Times New Roman" w:cs="Times New Roman"/>
          <w:color w:val="auto"/>
        </w:rPr>
        <w:t>舍</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eastAsia" w:ascii="宋体" w:hAnsi="宋体" w:eastAsia="宋体"/>
          <w:kern w:val="0"/>
          <w:szCs w:val="21"/>
          <w:lang w:val="en-US" w:eastAsia="zh-CN"/>
        </w:rPr>
      </w:pPr>
      <w:r>
        <w:rPr>
          <w:rFonts w:hint="eastAsia" w:ascii="Times New Roman" w:hAnsi="Times New Roman" w:cs="Times New Roman"/>
          <w:color w:val="auto"/>
          <w:lang w:val="en-US" w:eastAsia="zh-CN"/>
        </w:rPr>
        <w:t>（1）</w:t>
      </w:r>
      <w:r>
        <w:rPr>
          <w:rFonts w:hint="eastAsia" w:ascii="Times New Roman" w:hAnsi="Times New Roman" w:cs="Times New Roman"/>
          <w:color w:val="auto"/>
        </w:rPr>
        <w:t>对牛舍样式选择以及内部结构设计</w:t>
      </w:r>
      <w:r>
        <w:rPr>
          <w:rFonts w:hint="eastAsia" w:ascii="Times New Roman" w:hAnsi="Times New Roman" w:cs="Times New Roman"/>
          <w:color w:val="auto"/>
          <w:lang w:val="en-US" w:eastAsia="zh-CN"/>
        </w:rPr>
        <w:t>进行</w:t>
      </w:r>
      <w:r>
        <w:rPr>
          <w:rFonts w:hint="eastAsia" w:ascii="Times New Roman" w:hAnsi="Times New Roman" w:cs="Times New Roman"/>
          <w:color w:val="auto"/>
        </w:rPr>
        <w:t>明确规定</w:t>
      </w:r>
      <w:r>
        <w:rPr>
          <w:rFonts w:hint="eastAsia" w:ascii="Times New Roman" w:hAnsi="Times New Roman" w:cs="Times New Roman"/>
          <w:color w:val="auto"/>
          <w:lang w:eastAsia="zh-CN"/>
        </w:rPr>
        <w:t>，</w:t>
      </w:r>
      <w:r>
        <w:rPr>
          <w:rFonts w:hint="default" w:ascii="Times New Roman" w:hAnsi="Times New Roman" w:cs="Times New Roman"/>
          <w:color w:val="auto"/>
          <w:lang w:val="en-US" w:eastAsia="zh-CN"/>
        </w:rPr>
        <w:t>种公牛舍</w:t>
      </w:r>
      <w:r>
        <w:rPr>
          <w:rFonts w:hint="default" w:ascii="Times New Roman" w:hAnsi="Times New Roman" w:cs="Times New Roman"/>
          <w:color w:val="auto"/>
        </w:rPr>
        <w:t>设计根据实际需求选择半开放式、有窗式和无窗式牛舍，内部选择单列式、双列式或者多列式。</w:t>
      </w:r>
      <w:r>
        <w:rPr>
          <w:rFonts w:hint="eastAsia" w:ascii="宋体" w:hAnsi="宋体" w:eastAsia="宋体"/>
          <w:kern w:val="0"/>
          <w:szCs w:val="21"/>
          <w:lang w:val="en-US" w:eastAsia="zh-CN"/>
        </w:rPr>
        <w:t>长春地区冬季漫长寒冷，完全开放式牛舍会导致牛消化能量以保持体温，会适当降低生产效率，因此不建议采用完全开放式。</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（2）</w:t>
      </w:r>
      <w:r>
        <w:rPr>
          <w:rFonts w:hint="default" w:ascii="Times New Roman" w:hAnsi="Times New Roman" w:cs="Times New Roman"/>
          <w:color w:val="auto"/>
        </w:rPr>
        <w:t>建筑结构和内部设计应充分满足分阶段饲养方式的要求，</w:t>
      </w:r>
      <w:r>
        <w:rPr>
          <w:rFonts w:hint="default" w:ascii="Times New Roman" w:hAnsi="Times New Roman" w:cs="Times New Roman"/>
          <w:color w:val="auto"/>
          <w:lang w:val="en-US" w:eastAsia="zh-CN"/>
        </w:rPr>
        <w:t>成年牛</w:t>
      </w:r>
      <w:r>
        <w:rPr>
          <w:rFonts w:hint="default" w:ascii="Times New Roman" w:hAnsi="Times New Roman" w:cs="Times New Roman"/>
          <w:color w:val="auto"/>
        </w:rPr>
        <w:t>舍采食位和卧栏的比例为1</w:t>
      </w:r>
      <w:r>
        <w:rPr>
          <w:rFonts w:hint="eastAsia" w:ascii="Times New Roman" w:hAnsi="Times New Roman" w:cs="Times New Roman"/>
          <w:color w:val="auto"/>
          <w:lang w:val="en-US" w:eastAsia="zh-CN"/>
        </w:rPr>
        <w:t>:</w:t>
      </w:r>
      <w:r>
        <w:rPr>
          <w:rFonts w:hint="default" w:ascii="Times New Roman" w:hAnsi="Times New Roman" w:cs="Times New Roman"/>
          <w:color w:val="auto"/>
        </w:rPr>
        <w:t>1为宜；每头牛需牛舍面积8</w:t>
      </w:r>
      <w:r>
        <w:rPr>
          <w:rFonts w:hint="eastAsia" w:ascii="Times New Roman" w:hAnsi="Times New Roman" w:cs="Times New Roman"/>
          <w:color w:val="auto"/>
          <w:lang w:eastAsia="zh-CN"/>
        </w:rPr>
        <w:t>-</w:t>
      </w:r>
      <w:r>
        <w:rPr>
          <w:rFonts w:hint="default" w:ascii="Times New Roman" w:hAnsi="Times New Roman" w:cs="Times New Roman"/>
          <w:color w:val="auto"/>
        </w:rPr>
        <w:t>10 m</w:t>
      </w:r>
      <w:r>
        <w:rPr>
          <w:rFonts w:hint="default" w:ascii="Times New Roman" w:hAnsi="Times New Roman" w:cs="Times New Roman"/>
          <w:color w:val="auto"/>
          <w:vertAlign w:val="superscript"/>
        </w:rPr>
        <w:t>2</w:t>
      </w:r>
      <w:r>
        <w:rPr>
          <w:rFonts w:hint="default" w:ascii="Times New Roman" w:hAnsi="Times New Roman" w:cs="Times New Roman"/>
          <w:color w:val="auto"/>
        </w:rPr>
        <w:t>，需运动场面积20</w:t>
      </w:r>
      <w:r>
        <w:rPr>
          <w:rFonts w:hint="eastAsia" w:ascii="Times New Roman" w:hAnsi="Times New Roman" w:cs="Times New Roman"/>
          <w:color w:val="auto"/>
          <w:lang w:eastAsia="zh-CN"/>
        </w:rPr>
        <w:t>-</w:t>
      </w:r>
      <w:r>
        <w:rPr>
          <w:rFonts w:hint="default" w:ascii="Times New Roman" w:hAnsi="Times New Roman" w:cs="Times New Roman"/>
          <w:color w:val="auto"/>
        </w:rPr>
        <w:t>25 m</w:t>
      </w:r>
      <w:r>
        <w:rPr>
          <w:rFonts w:hint="default" w:ascii="Times New Roman" w:hAnsi="Times New Roman" w:cs="Times New Roman"/>
          <w:color w:val="auto"/>
          <w:vertAlign w:val="superscript"/>
        </w:rPr>
        <w:t>2</w:t>
      </w:r>
      <w:r>
        <w:rPr>
          <w:rFonts w:hint="default" w:ascii="Times New Roman" w:hAnsi="Times New Roman" w:cs="Times New Roman"/>
          <w:color w:val="auto"/>
        </w:rPr>
        <w:t>；长度＞100</w:t>
      </w:r>
      <w:r>
        <w:rPr>
          <w:rFonts w:hint="eastAsia" w:ascii="Times New Roman" w:hAnsi="Times New Roman" w:cs="Times New Roman"/>
          <w:color w:val="auto"/>
          <w:lang w:val="en-US" w:eastAsia="zh-CN"/>
        </w:rPr>
        <w:t>m</w:t>
      </w:r>
      <w:r>
        <w:rPr>
          <w:rFonts w:hint="default" w:ascii="Times New Roman" w:hAnsi="Times New Roman" w:cs="Times New Roman"/>
          <w:color w:val="auto"/>
        </w:rPr>
        <w:t>，排污沟向沉淀池方向有1%</w:t>
      </w:r>
      <w:r>
        <w:rPr>
          <w:rFonts w:hint="eastAsia" w:ascii="Times New Roman" w:hAnsi="Times New Roman" w:cs="Times New Roman"/>
          <w:color w:val="auto"/>
          <w:lang w:eastAsia="zh-CN"/>
        </w:rPr>
        <w:t>-</w:t>
      </w:r>
      <w:r>
        <w:rPr>
          <w:rFonts w:hint="default" w:ascii="Times New Roman" w:hAnsi="Times New Roman" w:cs="Times New Roman"/>
          <w:color w:val="auto"/>
        </w:rPr>
        <w:t>1.5%的坡度。隔离牛舍的出入口均应设消毒池，舍内不舍卧栏。</w:t>
      </w:r>
      <w:r>
        <w:rPr>
          <w:rFonts w:hint="eastAsia" w:ascii="宋体" w:hAnsi="宋体" w:eastAsia="宋体"/>
          <w:kern w:val="0"/>
          <w:szCs w:val="21"/>
          <w:lang w:val="en-US" w:eastAsia="zh-CN"/>
        </w:rPr>
        <w:t>保障种公牛有适当的空间，降低环境局促造成应激反应。</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（3）</w:t>
      </w:r>
      <w:r>
        <w:rPr>
          <w:rFonts w:hint="eastAsia" w:ascii="宋体" w:hAnsi="宋体" w:eastAsia="宋体"/>
          <w:kern w:val="0"/>
          <w:szCs w:val="21"/>
          <w:lang w:val="en-US" w:eastAsia="zh-CN"/>
        </w:rPr>
        <w:t>牛舍建筑面积应根据牛场实际情况确定，长、宽应符合牛场设计和整体规划。</w:t>
      </w:r>
      <w:r>
        <w:rPr>
          <w:rFonts w:hint="default" w:ascii="Times New Roman" w:hAnsi="Times New Roman" w:cs="Times New Roman"/>
          <w:color w:val="auto"/>
          <w:lang w:val="en-US" w:eastAsia="zh-CN"/>
        </w:rPr>
        <w:t>种公牛舍</w:t>
      </w:r>
      <w:r>
        <w:rPr>
          <w:rFonts w:hint="default" w:ascii="Times New Roman" w:hAnsi="Times New Roman" w:cs="Times New Roman"/>
          <w:color w:val="auto"/>
        </w:rPr>
        <w:t>跨度</w:t>
      </w:r>
      <w:r>
        <w:rPr>
          <w:rFonts w:hint="eastAsia" w:ascii="Times New Roman" w:hAnsi="Times New Roman" w:cs="Times New Roman"/>
          <w:color w:val="auto"/>
          <w:lang w:eastAsia="zh-CN"/>
        </w:rPr>
        <w:t>。</w:t>
      </w:r>
      <w:r>
        <w:rPr>
          <w:rFonts w:hint="default" w:ascii="Times New Roman" w:hAnsi="Times New Roman" w:cs="Times New Roman"/>
          <w:color w:val="auto"/>
        </w:rPr>
        <w:t>单列式不少于6.0 m，双列式不少于12.0 m，群养双列式不小于20.0 m。牛舍檐口高度：单列式布局不低于3.0 m，双列式布局不低于3.6 m，且随着牛舍跨度的增加而增加</w:t>
      </w:r>
      <w:r>
        <w:rPr>
          <w:rFonts w:hint="eastAsia" w:ascii="Times New Roman" w:hAnsi="Times New Roman" w:cs="Times New Roman"/>
          <w:color w:val="auto"/>
          <w:lang w:eastAsia="zh-CN"/>
        </w:rPr>
        <w:t>，</w:t>
      </w:r>
      <w:r>
        <w:rPr>
          <w:rFonts w:hint="eastAsia" w:ascii="宋体" w:hAnsi="宋体" w:eastAsia="宋体"/>
          <w:kern w:val="0"/>
          <w:szCs w:val="21"/>
          <w:lang w:val="en-US" w:eastAsia="zh-CN"/>
        </w:rPr>
        <w:t>以保障舍内水电管线铺装高度，防止动物损坏，保障动物安全。</w:t>
      </w:r>
      <w:r>
        <w:rPr>
          <w:rFonts w:hint="default" w:ascii="Times New Roman" w:hAnsi="Times New Roman" w:cs="Times New Roman"/>
          <w:color w:val="auto"/>
        </w:rPr>
        <w:t>两栋牛舍的间距为檐高的3倍</w:t>
      </w:r>
      <w:r>
        <w:rPr>
          <w:rFonts w:hint="eastAsia" w:ascii="Times New Roman" w:hAnsi="Times New Roman" w:cs="Times New Roman"/>
          <w:color w:val="auto"/>
          <w:lang w:eastAsia="zh-CN"/>
        </w:rPr>
        <w:t>-</w:t>
      </w:r>
      <w:r>
        <w:rPr>
          <w:rFonts w:hint="default" w:ascii="Times New Roman" w:hAnsi="Times New Roman" w:cs="Times New Roman"/>
          <w:color w:val="auto"/>
        </w:rPr>
        <w:t>5倍为宜。</w:t>
      </w:r>
      <w:r>
        <w:rPr>
          <w:rFonts w:hint="eastAsia" w:ascii="宋体" w:hAnsi="宋体" w:eastAsia="宋体"/>
          <w:kern w:val="0"/>
          <w:szCs w:val="21"/>
          <w:lang w:val="en-US" w:eastAsia="zh-CN"/>
        </w:rPr>
        <w:t>屋顶可采用单坡式或双坡式，应质轻、坚固结实、防水、保温、隔热，能抵抗雨雪、强风等外力影响，局部可采用透光板材。长春冬季雪量较大，宜采用坡形屋顶设计，便于清除积雪，根据牛舍具体情况，在屋顶看采用透光板材，增加北侧的采光。</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2、</w:t>
      </w:r>
      <w:r>
        <w:rPr>
          <w:rFonts w:hint="default" w:ascii="Times New Roman" w:hAnsi="Times New Roman" w:cs="Times New Roman"/>
          <w:color w:val="auto"/>
          <w:lang w:val="en-US" w:eastAsia="zh-CN"/>
        </w:rPr>
        <w:t>种公牛舍</w:t>
      </w:r>
      <w:r>
        <w:rPr>
          <w:rFonts w:hint="default" w:ascii="Times New Roman" w:hAnsi="Times New Roman" w:cs="Times New Roman"/>
          <w:color w:val="auto"/>
        </w:rPr>
        <w:t>设施与设备</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cs="Times New Roman"/>
          <w:color w:val="auto"/>
        </w:rPr>
      </w:pPr>
      <w:r>
        <w:rPr>
          <w:rFonts w:hint="eastAsia" w:ascii="Times New Roman" w:hAnsi="Times New Roman" w:cs="Times New Roman"/>
          <w:color w:val="auto"/>
          <w:lang w:val="en-US" w:eastAsia="zh-CN"/>
        </w:rPr>
        <w:t>（1）</w:t>
      </w:r>
      <w:r>
        <w:rPr>
          <w:rFonts w:hint="default" w:ascii="Times New Roman" w:hAnsi="Times New Roman" w:cs="Times New Roman"/>
          <w:color w:val="auto"/>
        </w:rPr>
        <w:t>牛床</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bookmarkStart w:id="1" w:name="_Hlk148463713"/>
      <w:r>
        <w:rPr>
          <w:rFonts w:hint="default" w:ascii="Times New Roman" w:hAnsi="Times New Roman" w:cs="Times New Roman"/>
          <w:color w:val="auto"/>
        </w:rPr>
        <w:t>牛床地面应结实、防滑、易于清理，并向粪沟作1.5%坡度倾斜。</w:t>
      </w:r>
      <w:r>
        <w:rPr>
          <w:rFonts w:hint="eastAsia" w:ascii="宋体" w:hAnsi="宋体" w:eastAsia="宋体"/>
          <w:kern w:val="0"/>
          <w:szCs w:val="21"/>
          <w:lang w:val="en-US" w:eastAsia="zh-CN"/>
        </w:rPr>
        <w:t>牛床长度大于牛体的长度，为增加空间宜控制在4米以上。</w:t>
      </w:r>
      <w:r>
        <w:rPr>
          <w:rFonts w:hint="default" w:ascii="Times New Roman" w:hAnsi="Times New Roman" w:cs="Times New Roman"/>
          <w:color w:val="auto"/>
        </w:rPr>
        <w:t>牛床可选用的垫料种类很多，根据具体需求进行选择。</w:t>
      </w:r>
      <w:r>
        <w:rPr>
          <w:rFonts w:hint="eastAsia" w:ascii="宋体" w:hAnsi="宋体" w:eastAsia="宋体"/>
          <w:kern w:val="0"/>
          <w:szCs w:val="21"/>
          <w:lang w:val="en-US" w:eastAsia="zh-CN"/>
        </w:rPr>
        <w:t>牛床设置坡度利于粪尿向后侧粪尿沟排出，保持牛床干燥卫生。地面铺设垫料的，垫料厚度应超过20 cm。也可用稻壳、锯末或者粉碎的玉米秸秆作为垫料，低温时加入适量生物菌剂，使牛粪发酵无臭味，采集后作为有机肥种养蔬菜瓜果。同时保护种公牛蹄部，防止蹄部损伤。</w:t>
      </w:r>
    </w:p>
    <w:bookmarkEnd w:id="1"/>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（2）</w:t>
      </w:r>
      <w:r>
        <w:rPr>
          <w:rFonts w:hint="default" w:ascii="Times New Roman" w:hAnsi="Times New Roman" w:eastAsia="宋体" w:cs="Times New Roman"/>
          <w:b w:val="0"/>
          <w:bCs w:val="0"/>
          <w:color w:val="auto"/>
          <w:kern w:val="0"/>
          <w:sz w:val="21"/>
          <w:szCs w:val="21"/>
        </w:rPr>
        <w:t>围栏</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bookmarkStart w:id="2" w:name="_Hlk148463878"/>
      <w:r>
        <w:rPr>
          <w:rFonts w:hint="default" w:ascii="Times New Roman" w:hAnsi="Times New Roman" w:eastAsia="宋体" w:cs="Times New Roman"/>
          <w:b w:val="0"/>
          <w:bCs w:val="0"/>
          <w:color w:val="auto"/>
          <w:kern w:val="0"/>
          <w:sz w:val="21"/>
          <w:szCs w:val="21"/>
        </w:rPr>
        <w:t>场内牛舍、运动场等需要围栏，围栏选用钢管制作，一般直径4</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5cm，高度1.2</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1.5m。</w:t>
      </w:r>
      <w:r>
        <w:rPr>
          <w:rFonts w:hint="eastAsia" w:ascii="宋体" w:hAnsi="宋体" w:eastAsia="宋体"/>
          <w:kern w:val="0"/>
          <w:szCs w:val="21"/>
          <w:lang w:val="en-US" w:eastAsia="zh-CN"/>
        </w:rPr>
        <w:t>采用坚固耐用的钢管或铸铁管，具有足够强度，保障使用时间。分群围栏宜制作活动围栏，适于采用机械化清粪。</w:t>
      </w:r>
    </w:p>
    <w:bookmarkEnd w:id="2"/>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（4）</w:t>
      </w:r>
      <w:r>
        <w:rPr>
          <w:rFonts w:hint="default" w:ascii="Times New Roman" w:hAnsi="Times New Roman" w:eastAsia="宋体" w:cs="Times New Roman"/>
          <w:b w:val="0"/>
          <w:bCs w:val="0"/>
          <w:color w:val="auto"/>
          <w:kern w:val="0"/>
          <w:sz w:val="21"/>
          <w:szCs w:val="21"/>
        </w:rPr>
        <w:t>饲槽</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eastAsia" w:ascii="Times New Roman" w:hAnsi="Times New Roman" w:eastAsia="宋体" w:cs="Times New Roman"/>
          <w:b w:val="0"/>
          <w:bCs w:val="0"/>
          <w:color w:val="auto"/>
          <w:kern w:val="0"/>
          <w:sz w:val="21"/>
          <w:szCs w:val="21"/>
          <w:lang w:val="en-US" w:eastAsia="zh-CN"/>
        </w:rPr>
      </w:pPr>
      <w:bookmarkStart w:id="3" w:name="_Hlk148464271"/>
      <w:r>
        <w:rPr>
          <w:rFonts w:hint="default" w:ascii="Times New Roman" w:hAnsi="Times New Roman" w:eastAsia="宋体" w:cs="Times New Roman"/>
          <w:b w:val="0"/>
          <w:bCs w:val="0"/>
          <w:color w:val="auto"/>
          <w:kern w:val="0"/>
          <w:sz w:val="21"/>
          <w:szCs w:val="21"/>
        </w:rPr>
        <w:t>饲槽应位于牛床前，饲槽长度与牛床总宽相同，饲槽底平面高于牛床。饲槽应坚固，槽内表面光滑、不透水。成年牛槽上宽60</w:t>
      </w:r>
      <w:r>
        <w:rPr>
          <w:rFonts w:hint="eastAsia" w:ascii="Times New Roman" w:hAnsi="Times New Roman" w:eastAsia="宋体" w:cs="Times New Roman"/>
          <w:b w:val="0"/>
          <w:bCs w:val="0"/>
          <w:color w:val="auto"/>
          <w:kern w:val="0"/>
          <w:sz w:val="21"/>
          <w:szCs w:val="21"/>
          <w:lang w:val="en-US" w:eastAsia="zh-CN"/>
        </w:rPr>
        <w:t>cm，</w:t>
      </w:r>
      <w:r>
        <w:rPr>
          <w:rFonts w:hint="default" w:ascii="Times New Roman" w:hAnsi="Times New Roman" w:eastAsia="宋体" w:cs="Times New Roman"/>
          <w:b w:val="0"/>
          <w:bCs w:val="0"/>
          <w:color w:val="auto"/>
          <w:kern w:val="0"/>
          <w:sz w:val="21"/>
          <w:szCs w:val="21"/>
        </w:rPr>
        <w:t>槽底宽40</w:t>
      </w:r>
      <w:r>
        <w:rPr>
          <w:rFonts w:hint="eastAsia" w:ascii="Times New Roman" w:hAnsi="Times New Roman" w:eastAsia="宋体" w:cs="Times New Roman"/>
          <w:b w:val="0"/>
          <w:bCs w:val="0"/>
          <w:color w:val="auto"/>
          <w:kern w:val="0"/>
          <w:sz w:val="21"/>
          <w:szCs w:val="21"/>
          <w:lang w:val="en-US" w:eastAsia="zh-CN"/>
        </w:rPr>
        <w:t>cm，</w:t>
      </w:r>
      <w:r>
        <w:rPr>
          <w:rFonts w:hint="default" w:ascii="Times New Roman" w:hAnsi="Times New Roman" w:eastAsia="宋体" w:cs="Times New Roman"/>
          <w:b w:val="0"/>
          <w:bCs w:val="0"/>
          <w:color w:val="auto"/>
          <w:kern w:val="0"/>
          <w:sz w:val="21"/>
          <w:szCs w:val="21"/>
        </w:rPr>
        <w:t>槽內缘高30</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35</w:t>
      </w:r>
      <w:r>
        <w:rPr>
          <w:rFonts w:hint="eastAsia" w:ascii="Times New Roman" w:hAnsi="Times New Roman" w:eastAsia="宋体" w:cs="Times New Roman"/>
          <w:b w:val="0"/>
          <w:bCs w:val="0"/>
          <w:color w:val="auto"/>
          <w:kern w:val="0"/>
          <w:sz w:val="21"/>
          <w:szCs w:val="21"/>
          <w:lang w:val="en-US" w:eastAsia="zh-CN"/>
        </w:rPr>
        <w:t>cm，</w:t>
      </w:r>
      <w:r>
        <w:rPr>
          <w:rFonts w:hint="default" w:ascii="Times New Roman" w:hAnsi="Times New Roman" w:eastAsia="宋体" w:cs="Times New Roman"/>
          <w:b w:val="0"/>
          <w:bCs w:val="0"/>
          <w:color w:val="auto"/>
          <w:kern w:val="0"/>
          <w:sz w:val="21"/>
          <w:szCs w:val="21"/>
        </w:rPr>
        <w:t>槽外缘高60</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80</w:t>
      </w:r>
      <w:r>
        <w:rPr>
          <w:rFonts w:hint="eastAsia" w:ascii="Times New Roman" w:hAnsi="Times New Roman" w:eastAsia="宋体" w:cs="Times New Roman"/>
          <w:b w:val="0"/>
          <w:bCs w:val="0"/>
          <w:color w:val="auto"/>
          <w:kern w:val="0"/>
          <w:sz w:val="21"/>
          <w:szCs w:val="21"/>
          <w:lang w:val="en-US" w:eastAsia="zh-CN"/>
        </w:rPr>
        <w:t>cm。</w:t>
      </w:r>
      <w:r>
        <w:rPr>
          <w:rFonts w:hint="eastAsia" w:ascii="宋体" w:hAnsi="宋体" w:eastAsia="宋体"/>
          <w:kern w:val="0"/>
          <w:szCs w:val="21"/>
          <w:lang w:val="en-US" w:eastAsia="zh-CN"/>
        </w:rPr>
        <w:t>饲槽宜采用地面槽，位于牛床前，具有一定硬度且表面光滑，利于牛摄食，槽底比牛床高出5 cm～10 cm，保证牛采食舒适，提高采食量，且便于饲料清理。</w:t>
      </w:r>
    </w:p>
    <w:bookmarkEnd w:id="3"/>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（5）</w:t>
      </w:r>
      <w:r>
        <w:rPr>
          <w:rFonts w:hint="default" w:ascii="Times New Roman" w:hAnsi="Times New Roman" w:eastAsia="宋体" w:cs="Times New Roman"/>
          <w:b w:val="0"/>
          <w:bCs w:val="0"/>
          <w:color w:val="auto"/>
          <w:kern w:val="0"/>
          <w:sz w:val="21"/>
          <w:szCs w:val="21"/>
        </w:rPr>
        <w:t>饲喂通道</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default" w:ascii="Times New Roman" w:hAnsi="Times New Roman" w:eastAsia="宋体" w:cs="Times New Roman"/>
          <w:b w:val="0"/>
          <w:bCs w:val="0"/>
          <w:color w:val="auto"/>
          <w:kern w:val="0"/>
          <w:sz w:val="21"/>
          <w:szCs w:val="21"/>
        </w:rPr>
        <w:t>人工喂料时宽度一般为1.2</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1.5m。全混合日粮（TMR）饲喂宽度则需2.8</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3.6m，一般贯彻牛舍中轴线。</w:t>
      </w:r>
      <w:r>
        <w:rPr>
          <w:rFonts w:hint="eastAsia" w:ascii="宋体" w:hAnsi="宋体" w:eastAsia="宋体"/>
          <w:kern w:val="0"/>
          <w:szCs w:val="21"/>
          <w:lang w:val="en-US" w:eastAsia="zh-CN"/>
        </w:rPr>
        <w:t>以保障饲喂通道相关设备的正常使用。</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（6）</w:t>
      </w:r>
      <w:r>
        <w:rPr>
          <w:rFonts w:hint="default" w:ascii="Times New Roman" w:hAnsi="Times New Roman" w:eastAsia="宋体" w:cs="Times New Roman"/>
          <w:b w:val="0"/>
          <w:bCs w:val="0"/>
          <w:color w:val="auto"/>
          <w:kern w:val="0"/>
          <w:sz w:val="21"/>
          <w:szCs w:val="21"/>
        </w:rPr>
        <w:t>饮水设备</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default" w:ascii="Times New Roman" w:hAnsi="Times New Roman" w:eastAsia="宋体" w:cs="Times New Roman"/>
          <w:b w:val="0"/>
          <w:bCs w:val="0"/>
          <w:color w:val="auto"/>
          <w:kern w:val="0"/>
          <w:sz w:val="21"/>
          <w:szCs w:val="21"/>
        </w:rPr>
        <w:t>饮水设备主要是饮水碗或以食槽兼水槽，一般每</w:t>
      </w:r>
      <w:r>
        <w:rPr>
          <w:rFonts w:hint="default" w:ascii="Times New Roman" w:hAnsi="Times New Roman" w:eastAsia="宋体" w:cs="Times New Roman"/>
          <w:b w:val="0"/>
          <w:bCs w:val="0"/>
          <w:color w:val="auto"/>
          <w:kern w:val="0"/>
          <w:sz w:val="21"/>
          <w:szCs w:val="21"/>
          <w:lang w:val="en-US" w:eastAsia="zh-CN"/>
        </w:rPr>
        <w:t>头</w:t>
      </w:r>
      <w:r>
        <w:rPr>
          <w:rFonts w:hint="default" w:ascii="Times New Roman" w:hAnsi="Times New Roman" w:eastAsia="宋体" w:cs="Times New Roman"/>
          <w:b w:val="0"/>
          <w:bCs w:val="0"/>
          <w:color w:val="auto"/>
          <w:kern w:val="0"/>
          <w:sz w:val="21"/>
          <w:szCs w:val="21"/>
        </w:rPr>
        <w:t>牛提供一个饮水碗，设隔栏固定柱上，安装高度要高出卧床70</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75 cm。</w:t>
      </w:r>
      <w:r>
        <w:rPr>
          <w:rFonts w:hint="default" w:ascii="Times New Roman" w:hAnsi="Times New Roman" w:eastAsia="宋体" w:cs="Times New Roman"/>
          <w:b w:val="0"/>
          <w:bCs w:val="0"/>
          <w:color w:val="auto"/>
          <w:kern w:val="0"/>
          <w:sz w:val="21"/>
          <w:szCs w:val="21"/>
          <w:lang w:val="en-US" w:eastAsia="zh-CN"/>
        </w:rPr>
        <w:t>运动场常用</w:t>
      </w:r>
      <w:r>
        <w:rPr>
          <w:rFonts w:hint="default" w:ascii="Times New Roman" w:hAnsi="Times New Roman" w:eastAsia="宋体" w:cs="Times New Roman"/>
          <w:b w:val="0"/>
          <w:bCs w:val="0"/>
          <w:color w:val="auto"/>
          <w:kern w:val="0"/>
          <w:sz w:val="21"/>
          <w:szCs w:val="21"/>
        </w:rPr>
        <w:t>饮水槽，一般宽40</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60 cm，深40 cm，水槽高度不宜超过70 cm，水槽内水深以15</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20 cm为宜，一个水槽满足10</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30头牛的饮水需要，</w:t>
      </w:r>
      <w:r>
        <w:rPr>
          <w:rFonts w:hint="eastAsia" w:ascii="宋体" w:hAnsi="宋体" w:eastAsia="宋体"/>
          <w:kern w:val="0"/>
          <w:szCs w:val="21"/>
          <w:lang w:val="en-US" w:eastAsia="zh-CN"/>
        </w:rPr>
        <w:t>每个饲养区至少配备一个，保证肉牛自由饮水，避免拥挤。</w:t>
      </w:r>
      <w:r>
        <w:rPr>
          <w:rFonts w:hint="default" w:ascii="Times New Roman" w:hAnsi="Times New Roman" w:eastAsia="宋体" w:cs="Times New Roman"/>
          <w:b w:val="0"/>
          <w:bCs w:val="0"/>
          <w:color w:val="auto"/>
          <w:kern w:val="0"/>
          <w:sz w:val="21"/>
          <w:szCs w:val="21"/>
        </w:rPr>
        <w:t>寒冷地区要采取相应的措施以防止水槽结冰，有条件的</w:t>
      </w:r>
      <w:r>
        <w:rPr>
          <w:rFonts w:hint="default" w:ascii="Times New Roman" w:hAnsi="Times New Roman" w:eastAsia="宋体" w:cs="Times New Roman"/>
          <w:b w:val="0"/>
          <w:bCs w:val="0"/>
          <w:color w:val="auto"/>
          <w:kern w:val="0"/>
          <w:sz w:val="21"/>
          <w:szCs w:val="21"/>
          <w:lang w:val="en-US" w:eastAsia="zh-CN"/>
        </w:rPr>
        <w:t>牛场</w:t>
      </w:r>
      <w:r>
        <w:rPr>
          <w:rFonts w:hint="default" w:ascii="Times New Roman" w:hAnsi="Times New Roman" w:eastAsia="宋体" w:cs="Times New Roman"/>
          <w:b w:val="0"/>
          <w:bCs w:val="0"/>
          <w:color w:val="auto"/>
          <w:kern w:val="0"/>
          <w:sz w:val="21"/>
          <w:szCs w:val="21"/>
        </w:rPr>
        <w:t>可选用恒温水槽。</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（7）</w:t>
      </w:r>
      <w:r>
        <w:rPr>
          <w:rFonts w:hint="default" w:ascii="Times New Roman" w:hAnsi="Times New Roman" w:eastAsia="宋体" w:cs="Times New Roman"/>
          <w:b w:val="0"/>
          <w:bCs w:val="0"/>
          <w:color w:val="auto"/>
          <w:kern w:val="0"/>
          <w:sz w:val="21"/>
          <w:szCs w:val="21"/>
        </w:rPr>
        <w:t>清粪通道</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bookmarkStart w:id="4" w:name="_Hlk148464381"/>
      <w:r>
        <w:rPr>
          <w:rFonts w:hint="default" w:ascii="Times New Roman" w:hAnsi="Times New Roman" w:eastAsia="宋体" w:cs="Times New Roman"/>
          <w:b w:val="0"/>
          <w:bCs w:val="0"/>
          <w:color w:val="auto"/>
          <w:kern w:val="0"/>
          <w:sz w:val="21"/>
          <w:szCs w:val="21"/>
        </w:rPr>
        <w:t>处于粪尿沟与牛床之间，实际上与牛床融为一体，一般宽度为2.5</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3.6 m。</w:t>
      </w:r>
      <w:bookmarkEnd w:id="4"/>
      <w:r>
        <w:rPr>
          <w:rFonts w:hint="eastAsia" w:ascii="宋体" w:hAnsi="宋体" w:eastAsia="宋体"/>
          <w:kern w:val="0"/>
          <w:szCs w:val="21"/>
          <w:lang w:val="en-US" w:eastAsia="zh-CN"/>
        </w:rPr>
        <w:t>可保证牛排泄物通过粪尿沟正常排出，同时可防止牛或饲养人员误入造成伤害，也可采用深沟，上面加盖漏缝盖板。</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（8）</w:t>
      </w:r>
      <w:r>
        <w:rPr>
          <w:rFonts w:hint="default" w:ascii="Times New Roman" w:hAnsi="Times New Roman" w:eastAsia="宋体" w:cs="Times New Roman"/>
          <w:b w:val="0"/>
          <w:bCs w:val="0"/>
          <w:color w:val="auto"/>
          <w:kern w:val="0"/>
          <w:sz w:val="21"/>
          <w:szCs w:val="21"/>
        </w:rPr>
        <w:t>粪尿沟</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default" w:ascii="Times New Roman" w:hAnsi="Times New Roman" w:eastAsia="宋体" w:cs="Times New Roman"/>
          <w:b w:val="0"/>
          <w:bCs w:val="0"/>
          <w:color w:val="auto"/>
          <w:kern w:val="0"/>
          <w:sz w:val="21"/>
          <w:szCs w:val="21"/>
        </w:rPr>
        <w:t>粪尿沟位于清粪通道附近，宽度为0.32</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0.34 m，起始深度为0.06 m左右，坡度为6%左右，向污水通道方向下倾。当深度超过20 cm时，应设漏缝沟盖，以免牛只失足下肢受伤。</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（9）</w:t>
      </w:r>
      <w:r>
        <w:rPr>
          <w:rFonts w:hint="default" w:ascii="Times New Roman" w:hAnsi="Times New Roman" w:eastAsia="宋体" w:cs="Times New Roman"/>
          <w:b w:val="0"/>
          <w:bCs w:val="0"/>
          <w:color w:val="auto"/>
          <w:kern w:val="0"/>
          <w:sz w:val="21"/>
          <w:szCs w:val="21"/>
        </w:rPr>
        <w:t>根据场址所处地理位置和气候条件</w:t>
      </w:r>
      <w:r>
        <w:rPr>
          <w:rFonts w:hint="default"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牛舍内宜增设防暑降温或保温等环境控制设施设备，同时应注意通风设计、采光设计以及排污系统设计，符合NY 388的要求，同时提高牛只福利，兼顾牛场防疫消毒需要。满足牛舍保温隔热、降温、通风、采光等基本要求。</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outlineLvl w:val="1"/>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（五）第9章</w:t>
      </w:r>
      <w:r>
        <w:rPr>
          <w:rFonts w:hint="default" w:ascii="Times New Roman" w:hAnsi="Times New Roman" w:eastAsia="宋体" w:cs="Times New Roman"/>
          <w:b w:val="0"/>
          <w:bCs w:val="0"/>
          <w:color w:val="auto"/>
          <w:kern w:val="0"/>
          <w:sz w:val="21"/>
          <w:szCs w:val="21"/>
          <w:lang w:val="en-US" w:eastAsia="zh-CN"/>
        </w:rPr>
        <w:t>配套</w:t>
      </w:r>
      <w:r>
        <w:rPr>
          <w:rFonts w:hint="default" w:ascii="Times New Roman" w:hAnsi="Times New Roman" w:eastAsia="宋体" w:cs="Times New Roman"/>
          <w:b w:val="0"/>
          <w:bCs w:val="0"/>
          <w:color w:val="auto"/>
          <w:kern w:val="0"/>
          <w:sz w:val="21"/>
          <w:szCs w:val="21"/>
        </w:rPr>
        <w:t>设施与设备</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lang w:eastAsia="zh-CN"/>
        </w:rPr>
      </w:pPr>
      <w:r>
        <w:rPr>
          <w:rFonts w:hint="eastAsia" w:ascii="Times New Roman" w:hAnsi="Times New Roman" w:eastAsia="宋体" w:cs="Times New Roman"/>
          <w:b w:val="0"/>
          <w:bCs w:val="0"/>
          <w:color w:val="auto"/>
          <w:kern w:val="0"/>
          <w:sz w:val="21"/>
          <w:szCs w:val="21"/>
          <w:lang w:val="en-US" w:eastAsia="zh-CN"/>
        </w:rPr>
        <w:t>（1）依据生产需要和种公牛场的特殊需求，</w:t>
      </w:r>
      <w:r>
        <w:rPr>
          <w:rFonts w:hint="default" w:ascii="Times New Roman" w:hAnsi="Times New Roman" w:eastAsia="宋体" w:cs="Times New Roman"/>
          <w:b w:val="0"/>
          <w:bCs w:val="0"/>
          <w:color w:val="auto"/>
          <w:kern w:val="0"/>
          <w:sz w:val="21"/>
          <w:szCs w:val="21"/>
        </w:rPr>
        <w:t>应配置采精、冻精、日常检查、转群、消毒防疫、兽医诊断、药品存放、有害物品处置、废弃物处理等所需设施设备</w:t>
      </w:r>
      <w:r>
        <w:rPr>
          <w:rFonts w:hint="default" w:ascii="Times New Roman" w:hAnsi="Times New Roman" w:eastAsia="宋体" w:cs="Times New Roman"/>
          <w:b w:val="0"/>
          <w:bCs w:val="0"/>
          <w:color w:val="auto"/>
          <w:kern w:val="0"/>
          <w:sz w:val="21"/>
          <w:szCs w:val="21"/>
          <w:lang w:eastAsia="zh-CN"/>
        </w:rPr>
        <w:t>。</w:t>
      </w:r>
    </w:p>
    <w:p>
      <w:pPr>
        <w:keepNext w:val="0"/>
        <w:keepLines w:val="0"/>
        <w:pageBreakBefore w:val="0"/>
        <w:kinsoku/>
        <w:wordWrap/>
        <w:overflowPunct/>
        <w:topLinePunct w:val="0"/>
        <w:autoSpaceDE w:val="0"/>
        <w:autoSpaceDN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kern w:val="0"/>
          <w:sz w:val="21"/>
          <w:szCs w:val="21"/>
        </w:rPr>
      </w:pPr>
      <w:r>
        <w:rPr>
          <w:rFonts w:hint="eastAsia" w:ascii="Times New Roman" w:hAnsi="Times New Roman" w:eastAsia="宋体" w:cs="Times New Roman"/>
          <w:b w:val="0"/>
          <w:bCs w:val="0"/>
          <w:color w:val="auto"/>
          <w:kern w:val="0"/>
          <w:sz w:val="21"/>
          <w:szCs w:val="21"/>
          <w:lang w:val="en-US" w:eastAsia="zh-CN"/>
        </w:rPr>
        <w:t>（2）</w:t>
      </w:r>
      <w:r>
        <w:rPr>
          <w:rFonts w:hint="default" w:ascii="Times New Roman" w:hAnsi="Times New Roman" w:eastAsia="宋体" w:cs="Times New Roman"/>
          <w:b w:val="0"/>
          <w:bCs w:val="0"/>
          <w:color w:val="auto"/>
          <w:kern w:val="0"/>
          <w:sz w:val="21"/>
          <w:szCs w:val="21"/>
        </w:rPr>
        <w:t>牛舍照明设备应满足80</w:t>
      </w:r>
      <w:r>
        <w:rPr>
          <w:rFonts w:hint="eastAsia" w:ascii="Times New Roman" w:hAnsi="Times New Roman" w:eastAsia="宋体" w:cs="Times New Roman"/>
          <w:b w:val="0"/>
          <w:bCs w:val="0"/>
          <w:color w:val="auto"/>
          <w:kern w:val="0"/>
          <w:sz w:val="21"/>
          <w:szCs w:val="21"/>
          <w:lang w:eastAsia="zh-CN"/>
        </w:rPr>
        <w:t>-</w:t>
      </w:r>
      <w:r>
        <w:rPr>
          <w:rFonts w:hint="default" w:ascii="Times New Roman" w:hAnsi="Times New Roman" w:eastAsia="宋体" w:cs="Times New Roman"/>
          <w:b w:val="0"/>
          <w:bCs w:val="0"/>
          <w:color w:val="auto"/>
          <w:kern w:val="0"/>
          <w:sz w:val="21"/>
          <w:szCs w:val="21"/>
        </w:rPr>
        <w:t>120 lx照度为宜。</w:t>
      </w:r>
    </w:p>
    <w:p>
      <w:pPr>
        <w:keepNext w:val="0"/>
        <w:keepLines w:val="0"/>
        <w:pageBreakBefore w:val="0"/>
        <w:kinsoku/>
        <w:wordWrap/>
        <w:overflowPunct/>
        <w:topLinePunct w:val="0"/>
        <w:bidi w:val="0"/>
        <w:adjustRightInd/>
        <w:snapToGrid/>
        <w:spacing w:line="360" w:lineRule="auto"/>
        <w:ind w:left="0" w:firstLine="420" w:firstLineChars="200"/>
        <w:jc w:val="left"/>
        <w:textAlignment w:val="auto"/>
        <w:rPr>
          <w:rFonts w:hint="default" w:ascii="Times New Roman" w:hAnsi="Times New Roman" w:eastAsia="宋体" w:cs="Times New Roman"/>
          <w:b w:val="0"/>
          <w:bCs w:val="0"/>
          <w:color w:val="auto"/>
          <w:sz w:val="21"/>
          <w:szCs w:val="21"/>
        </w:rPr>
      </w:pPr>
      <w:r>
        <w:rPr>
          <w:rFonts w:hint="eastAsia" w:ascii="Times New Roman" w:hAnsi="Times New Roman" w:eastAsia="宋体" w:cs="Times New Roman"/>
          <w:b w:val="0"/>
          <w:bCs w:val="0"/>
          <w:color w:val="auto"/>
          <w:sz w:val="21"/>
          <w:szCs w:val="21"/>
          <w:lang w:val="en-US" w:eastAsia="zh-CN"/>
        </w:rPr>
        <w:t>（3）</w:t>
      </w:r>
      <w:r>
        <w:rPr>
          <w:rFonts w:hint="default" w:ascii="Times New Roman" w:hAnsi="Times New Roman" w:eastAsia="宋体" w:cs="Times New Roman"/>
          <w:b w:val="0"/>
          <w:bCs w:val="0"/>
          <w:color w:val="auto"/>
          <w:sz w:val="21"/>
          <w:szCs w:val="21"/>
        </w:rPr>
        <w:t>配置与生产相匹配的给排水</w:t>
      </w:r>
      <w:r>
        <w:rPr>
          <w:rFonts w:hint="default" w:ascii="Times New Roman" w:hAnsi="Times New Roman" w:eastAsia="宋体" w:cs="Times New Roman"/>
          <w:b w:val="0"/>
          <w:bCs w:val="0"/>
          <w:color w:val="auto"/>
          <w:sz w:val="21"/>
          <w:szCs w:val="21"/>
          <w:lang w:eastAsia="zh-CN"/>
        </w:rPr>
        <w:t>、</w:t>
      </w:r>
      <w:r>
        <w:rPr>
          <w:rFonts w:hint="default" w:ascii="Times New Roman" w:hAnsi="Times New Roman" w:eastAsia="宋体" w:cs="Times New Roman"/>
          <w:b w:val="0"/>
          <w:bCs w:val="0"/>
          <w:color w:val="auto"/>
          <w:sz w:val="21"/>
          <w:szCs w:val="21"/>
        </w:rPr>
        <w:t>电气设施。</w:t>
      </w:r>
      <w:r>
        <w:rPr>
          <w:rFonts w:hint="eastAsia" w:ascii="宋体" w:hAnsi="宋体" w:eastAsia="宋体"/>
          <w:kern w:val="0"/>
          <w:szCs w:val="21"/>
          <w:lang w:val="en-US" w:eastAsia="zh-CN"/>
        </w:rPr>
        <w:t>电力负荷等级为民用建筑供电等级二级，满足正常照明、监控设备和通风设备等牛舍内相关设备的用电需求。保障水电安全。</w:t>
      </w:r>
    </w:p>
    <w:p>
      <w:pPr>
        <w:keepNext w:val="0"/>
        <w:keepLines w:val="0"/>
        <w:pageBreakBefore w:val="0"/>
        <w:widowControl/>
        <w:kinsoku/>
        <w:wordWrap/>
        <w:overflowPunct/>
        <w:topLinePunct w:val="0"/>
        <w:bidi w:val="0"/>
        <w:adjustRightInd/>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Times New Roman" w:hAnsi="Times New Roman" w:eastAsia="宋体" w:cs="Times New Roman"/>
          <w:b w:val="0"/>
          <w:bCs w:val="0"/>
          <w:color w:val="auto"/>
          <w:sz w:val="21"/>
          <w:szCs w:val="21"/>
          <w:lang w:val="en-US" w:eastAsia="zh-CN"/>
        </w:rPr>
        <w:t>（4）</w:t>
      </w:r>
      <w:r>
        <w:rPr>
          <w:rFonts w:hint="default" w:ascii="Times New Roman" w:hAnsi="Times New Roman" w:eastAsia="宋体" w:cs="Times New Roman"/>
          <w:b w:val="0"/>
          <w:bCs w:val="0"/>
          <w:color w:val="auto"/>
          <w:sz w:val="21"/>
          <w:szCs w:val="21"/>
        </w:rPr>
        <w:t>配置与生产相匹配的场区道路</w:t>
      </w:r>
      <w:r>
        <w:rPr>
          <w:rFonts w:hint="default" w:ascii="Times New Roman" w:hAnsi="Times New Roman" w:eastAsia="宋体" w:cs="Times New Roman"/>
          <w:b w:val="0"/>
          <w:bCs w:val="0"/>
          <w:color w:val="auto"/>
          <w:sz w:val="21"/>
          <w:szCs w:val="21"/>
          <w:lang w:val="en-US" w:eastAsia="zh-CN"/>
        </w:rPr>
        <w:t>及绿化。</w:t>
      </w:r>
    </w:p>
    <w:p>
      <w:pPr>
        <w:keepNext w:val="0"/>
        <w:keepLines w:val="0"/>
        <w:pageBreakBefore w:val="0"/>
        <w:widowControl/>
        <w:kinsoku/>
        <w:wordWrap/>
        <w:overflowPunct/>
        <w:topLinePunct w:val="0"/>
        <w:bidi w:val="0"/>
        <w:snapToGrid/>
        <w:spacing w:beforeAutospacing="0" w:afterAutospacing="0" w:line="360" w:lineRule="auto"/>
        <w:ind w:firstLine="420" w:firstLineChars="200"/>
        <w:jc w:val="left"/>
        <w:textAlignment w:val="auto"/>
        <w:rPr>
          <w:rFonts w:eastAsia="黑体" w:cs="黑体"/>
          <w:color w:val="auto"/>
          <w:kern w:val="0"/>
        </w:rPr>
      </w:pPr>
      <w:r>
        <w:rPr>
          <w:rFonts w:hint="eastAsia" w:eastAsia="黑体" w:cs="黑体"/>
          <w:color w:val="auto"/>
          <w:kern w:val="0"/>
        </w:rPr>
        <w:t>六、重大分歧意见的处理依据和结果</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Times New Roman" w:hAnsi="宋体" w:eastAsia="宋体" w:cs="Times New Roman"/>
          <w:color w:val="auto"/>
          <w:kern w:val="0"/>
          <w:szCs w:val="21"/>
        </w:rPr>
      </w:pPr>
      <w:r>
        <w:rPr>
          <w:rFonts w:hint="eastAsia" w:ascii="宋体" w:hAnsi="宋体" w:eastAsia="宋体"/>
          <w:color w:val="auto"/>
          <w:kern w:val="0"/>
          <w:szCs w:val="21"/>
        </w:rPr>
        <w:t>针对未采纳意见，已与提出专家进行充分沟通，告知未采纳理由，并得到专家对于意见不进行采纳的认可，过程中没有重大分歧意见。</w:t>
      </w:r>
    </w:p>
    <w:p>
      <w:pPr>
        <w:keepNext w:val="0"/>
        <w:keepLines w:val="0"/>
        <w:pageBreakBefore w:val="0"/>
        <w:widowControl/>
        <w:kinsoku/>
        <w:wordWrap/>
        <w:overflowPunct/>
        <w:topLinePunct w:val="0"/>
        <w:bidi w:val="0"/>
        <w:snapToGrid/>
        <w:spacing w:beforeAutospacing="0" w:afterAutospacing="0" w:line="360" w:lineRule="auto"/>
        <w:ind w:firstLine="420" w:firstLineChars="200"/>
        <w:jc w:val="left"/>
        <w:textAlignment w:val="auto"/>
        <w:rPr>
          <w:color w:val="auto"/>
          <w:kern w:val="0"/>
        </w:rPr>
      </w:pPr>
      <w:r>
        <w:rPr>
          <w:rFonts w:hint="eastAsia" w:eastAsia="黑体" w:cs="黑体"/>
          <w:color w:val="auto"/>
          <w:kern w:val="0"/>
        </w:rPr>
        <w:t>七、采用国际标准或国外先进标准的，说明采标程度，以及国内外同类标准水平的对比情况</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ascii="Times New Roman" w:hAnsi="宋体" w:eastAsia="宋体" w:cs="Times New Roman"/>
          <w:color w:val="auto"/>
          <w:kern w:val="0"/>
          <w:szCs w:val="21"/>
        </w:rPr>
      </w:pPr>
      <w:r>
        <w:rPr>
          <w:rFonts w:hint="eastAsia" w:ascii="宋体" w:hAnsi="宋体" w:eastAsia="宋体"/>
          <w:color w:val="auto"/>
          <w:kern w:val="0"/>
          <w:szCs w:val="21"/>
          <w:lang w:val="en-US" w:eastAsia="zh-CN"/>
        </w:rPr>
        <w:t>未采用国际或国外标准。通过联机检索，我国目前尚无相关国家标准、行业标准和地方标准。经过检索，有DB51/T 1825—2014牧区种牛场建设规范（四川省地方标准）和DB 4117/T 326-2021奶牛种牛场建设要求（驻马店市地方标准）相关，但规定内容为牧区种牛场和奶牛场建设标准，与本标准内容侧重点种公牛牛舍建设标准不符。</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"https://std.samr.gov.cn/db/search/stdDBDetailed?id=ED052E52790491B6E05397BE0A0AA897"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DB61/T 1489.2-2021  秦川牛生产技术规范 第2部分：牛舍建设</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（陕西省地方标准）、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"https://std.samr.gov.cn/db/search/stdDBDetailed?id=91D99E4D9DD52E24E05397BE0A0A3A10"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DB15/T 1328-2018  围产期牛舍建设工艺设计规范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（内蒙古地方标准）、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"https://std.samr.gov.cn/db/search/stdDBDetailed?id=91D99E4D98EA2E24E05397BE0A0A3A10"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DB62/T 2853-2018  双列式暖棚牛舍建造技术规程</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（甘肃省地方标准）、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"https://std.samr.gov.cn/db/search/stdDBDetailed?id=91D99E4D228F2E24E05397BE0A0A3A10"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DB65/T 3280-2011  新疆褐牛舍饲饲养管理</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（新疆省地方标准）、</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"https://std.samr.gov.cn/db/search/stdDBDetailed?id=91D99E4D783F2E24E05397BE0A0A3A10"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DB64/T 572-2010  宁夏暖棚牛舍建设规范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宁夏省地方标准）与本标准中的种公牛牛舍建设规范相关，但本标准重点关注符合吉林省地方气候的种公牛牛舍建设规范，且吉林省当地资源、社会状况、经济状况等与上述几个地区差别较大。因此，亟需制定符合吉林省实际的种公牛牛舍建设规范地方标准。本标准在制定过程中，充分考虑了北方气候严寒实际情况，标准的技术指标合理、先进，填补了北方寒冷地区</w:t>
      </w:r>
      <w:r>
        <w:rPr>
          <w:rFonts w:hint="eastAsia" w:ascii="Times New Roman" w:hAnsi="Times New Roman" w:cs="Times New Roman"/>
          <w:color w:val="auto"/>
          <w:lang w:val="en-US" w:eastAsia="zh-CN"/>
        </w:rPr>
        <w:t>种公牛牛舍建设规范</w:t>
      </w:r>
      <w:r>
        <w:rPr>
          <w:rFonts w:hint="eastAsia" w:ascii="宋体" w:hAnsi="宋体" w:eastAsia="宋体"/>
          <w:color w:val="auto"/>
          <w:kern w:val="0"/>
          <w:szCs w:val="21"/>
          <w:lang w:val="en-US" w:eastAsia="zh-CN"/>
        </w:rPr>
        <w:t>国内的空白。</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color w:val="auto"/>
          <w:kern w:val="0"/>
        </w:rPr>
      </w:pPr>
      <w:r>
        <w:rPr>
          <w:rFonts w:hint="eastAsia" w:eastAsia="黑体" w:cs="黑体"/>
          <w:color w:val="auto"/>
          <w:kern w:val="0"/>
        </w:rPr>
        <w:t>八、贯彻标准的措施建议</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（一）技术措施</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要求种公牛牛舍建设相关技术人熟知相关术语，严格按照本规范的技术要求对种公牛牛舍进行建设和使用，从而促进生产发展。</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（二）管理措施</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在种公牛牛舍建设过程中严格遵循规范，提高科学建设意识，确保规范的种公牛牛舍建设，且注意疫病防控，杜绝疫病发生。</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（三）实施方案</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本标准自发布之日起，吉林省各地区相关单位和厂区严格按照本规范规定的技术要求进行种公牛牛舍建设，确保实际生产的顺利进行。</w:t>
      </w:r>
    </w:p>
    <w:p>
      <w:pPr>
        <w:keepNext w:val="0"/>
        <w:keepLines w:val="0"/>
        <w:pageBreakBefore w:val="0"/>
        <w:widowControl/>
        <w:kinsoku/>
        <w:wordWrap/>
        <w:overflowPunct/>
        <w:topLinePunct w:val="0"/>
        <w:bidi w:val="0"/>
        <w:snapToGrid/>
        <w:spacing w:beforeAutospacing="0" w:afterAutospacing="0" w:line="360" w:lineRule="auto"/>
        <w:ind w:firstLine="407" w:firstLineChars="194"/>
        <w:textAlignment w:val="auto"/>
        <w:rPr>
          <w:rFonts w:eastAsia="黑体"/>
          <w:color w:val="auto"/>
          <w:kern w:val="0"/>
        </w:rPr>
      </w:pPr>
      <w:r>
        <w:rPr>
          <w:rFonts w:hint="eastAsia" w:eastAsia="黑体" w:cs="黑体"/>
          <w:color w:val="auto"/>
          <w:kern w:val="0"/>
        </w:rPr>
        <w:t>九、预期效益分析</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hint="default" w:ascii="Times New Roman" w:hAnsi="宋体"/>
          <w:color w:val="auto"/>
          <w:szCs w:val="21"/>
          <w:lang w:val="en-US" w:eastAsia="zh-CN"/>
        </w:rPr>
      </w:pPr>
      <w:r>
        <w:rPr>
          <w:rFonts w:hint="eastAsia" w:ascii="Times New Roman" w:hAnsi="宋体"/>
          <w:color w:val="auto"/>
          <w:szCs w:val="21"/>
          <w:lang w:val="en-US" w:eastAsia="zh-CN"/>
        </w:rPr>
        <w:t>（一）</w:t>
      </w:r>
      <w:r>
        <w:rPr>
          <w:rFonts w:hint="default" w:ascii="宋体" w:hAnsi="宋体" w:eastAsia="宋体"/>
          <w:color w:val="auto"/>
          <w:kern w:val="0"/>
          <w:szCs w:val="21"/>
          <w:lang w:val="en-US" w:eastAsia="zh-CN"/>
        </w:rPr>
        <w:t>经济效益</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种公牛牛舍的规范建设</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可以</w:t>
      </w:r>
      <w:r>
        <w:rPr>
          <w:rFonts w:hint="default" w:ascii="宋体" w:hAnsi="宋体" w:eastAsia="宋体"/>
          <w:color w:val="auto"/>
          <w:kern w:val="0"/>
          <w:szCs w:val="21"/>
          <w:lang w:val="en-US" w:eastAsia="zh-CN"/>
        </w:rPr>
        <w:t>提高</w:t>
      </w:r>
      <w:r>
        <w:rPr>
          <w:rFonts w:hint="eastAsia" w:ascii="宋体" w:hAnsi="宋体" w:eastAsia="宋体"/>
          <w:color w:val="auto"/>
          <w:kern w:val="0"/>
          <w:szCs w:val="21"/>
          <w:lang w:val="en-US" w:eastAsia="zh-CN"/>
        </w:rPr>
        <w:t>种公牛的生产效率及福利</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维持种群稳定性，降低疫病种源传播风险，降低实际生产过程中造成的环境污染和经济损失，</w:t>
      </w:r>
      <w:r>
        <w:rPr>
          <w:rFonts w:hint="default" w:ascii="宋体" w:hAnsi="宋体" w:eastAsia="宋体"/>
          <w:color w:val="auto"/>
          <w:kern w:val="0"/>
          <w:szCs w:val="21"/>
          <w:lang w:val="en-US" w:eastAsia="zh-CN"/>
        </w:rPr>
        <w:t>进而提高经济效益。</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hint="default" w:ascii="宋体" w:hAnsi="宋体" w:eastAsia="宋体"/>
          <w:color w:val="auto"/>
          <w:kern w:val="0"/>
          <w:szCs w:val="21"/>
          <w:lang w:val="en-US" w:eastAsia="zh-CN"/>
        </w:rPr>
      </w:pPr>
      <w:r>
        <w:rPr>
          <w:rFonts w:hint="eastAsia" w:ascii="Times New Roman" w:hAnsi="宋体"/>
          <w:color w:val="auto"/>
          <w:szCs w:val="21"/>
          <w:lang w:val="en-US" w:eastAsia="zh-CN"/>
        </w:rPr>
        <w:t>（二）</w:t>
      </w:r>
      <w:r>
        <w:rPr>
          <w:rFonts w:hint="default" w:ascii="宋体" w:hAnsi="宋体" w:eastAsia="宋体"/>
          <w:color w:val="auto"/>
          <w:kern w:val="0"/>
          <w:szCs w:val="21"/>
          <w:lang w:val="en-US" w:eastAsia="zh-CN"/>
        </w:rPr>
        <w:t>社会效益</w:t>
      </w:r>
    </w:p>
    <w:p>
      <w:pPr>
        <w:keepNext w:val="0"/>
        <w:keepLines w:val="0"/>
        <w:pageBreakBefore w:val="0"/>
        <w:widowControl/>
        <w:kinsoku/>
        <w:wordWrap/>
        <w:overflowPunct/>
        <w:topLinePunct w:val="0"/>
        <w:bidi w:val="0"/>
        <w:snapToGrid/>
        <w:spacing w:beforeAutospacing="0" w:afterAutospacing="0" w:line="360" w:lineRule="auto"/>
        <w:ind w:left="420" w:leftChars="200" w:firstLine="0" w:firstLineChars="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w:t>
      </w:r>
      <w:r>
        <w:rPr>
          <w:rFonts w:hint="default" w:ascii="宋体" w:hAnsi="宋体" w:eastAsia="宋体"/>
          <w:color w:val="auto"/>
          <w:kern w:val="0"/>
          <w:szCs w:val="21"/>
          <w:lang w:val="en-US" w:eastAsia="zh-CN"/>
        </w:rPr>
        <w:t>通过本标准的应用和推广，规范我省</w:t>
      </w:r>
      <w:r>
        <w:rPr>
          <w:rFonts w:hint="eastAsia" w:ascii="宋体" w:hAnsi="宋体" w:eastAsia="宋体"/>
          <w:color w:val="auto"/>
          <w:kern w:val="0"/>
          <w:szCs w:val="21"/>
          <w:lang w:val="en-US" w:eastAsia="zh-CN"/>
        </w:rPr>
        <w:t>种公牛舍的建设</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提高当地牛场的市场竞争力</w:t>
      </w:r>
      <w:r>
        <w:rPr>
          <w:rFonts w:hint="default" w:ascii="宋体" w:hAnsi="宋体" w:eastAsia="宋体"/>
          <w:color w:val="auto"/>
          <w:kern w:val="0"/>
          <w:szCs w:val="21"/>
          <w:lang w:val="en-US" w:eastAsia="zh-CN"/>
        </w:rPr>
        <w:t>。</w:t>
      </w:r>
      <w:r>
        <w:rPr>
          <w:rFonts w:hint="eastAsia" w:ascii="宋体" w:hAnsi="宋体" w:eastAsia="宋体"/>
          <w:color w:val="auto"/>
          <w:kern w:val="0"/>
          <w:szCs w:val="21"/>
          <w:lang w:val="en-US" w:eastAsia="zh-CN"/>
        </w:rPr>
        <w:t>2、</w:t>
      </w:r>
      <w:r>
        <w:rPr>
          <w:rFonts w:hint="default" w:ascii="宋体" w:hAnsi="宋体" w:eastAsia="宋体"/>
          <w:color w:val="auto"/>
          <w:kern w:val="0"/>
          <w:szCs w:val="21"/>
          <w:lang w:val="en-US" w:eastAsia="zh-CN"/>
        </w:rPr>
        <w:t>推进我省“秸秆变肉”暨千万头肉牛建设工程顺利实施，全面提升我省肉牛产业市场竞争力。</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hint="default" w:ascii="宋体" w:hAnsi="宋体" w:eastAsia="宋体"/>
          <w:color w:val="auto"/>
          <w:kern w:val="0"/>
          <w:szCs w:val="21"/>
          <w:lang w:val="en-US" w:eastAsia="zh-CN"/>
        </w:rPr>
      </w:pPr>
      <w:r>
        <w:rPr>
          <w:rFonts w:hint="eastAsia" w:ascii="Times New Roman" w:hAnsi="宋体"/>
          <w:color w:val="auto"/>
          <w:szCs w:val="21"/>
          <w:lang w:val="en-US" w:eastAsia="zh-CN"/>
        </w:rPr>
        <w:t>（三）</w:t>
      </w:r>
      <w:r>
        <w:rPr>
          <w:rFonts w:hint="default" w:ascii="宋体" w:hAnsi="宋体" w:eastAsia="宋体"/>
          <w:color w:val="auto"/>
          <w:kern w:val="0"/>
          <w:szCs w:val="21"/>
          <w:lang w:val="en-US" w:eastAsia="zh-CN"/>
        </w:rPr>
        <w:t>生态效益</w:t>
      </w:r>
    </w:p>
    <w:p>
      <w:pPr>
        <w:keepNext w:val="0"/>
        <w:keepLines w:val="0"/>
        <w:pageBreakBefore w:val="0"/>
        <w:widowControl/>
        <w:kinsoku/>
        <w:wordWrap/>
        <w:overflowPunct/>
        <w:topLinePunct w:val="0"/>
        <w:bidi w:val="0"/>
        <w:snapToGrid/>
        <w:spacing w:beforeAutospacing="0" w:afterAutospacing="0" w:line="360" w:lineRule="auto"/>
        <w:ind w:firstLine="420" w:firstLineChars="200"/>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本标准的推广应用可以有效降低不必要的环境污染和防疫风险。</w:t>
      </w:r>
    </w:p>
    <w:p>
      <w:pPr>
        <w:keepNext w:val="0"/>
        <w:keepLines w:val="0"/>
        <w:pageBreakBefore w:val="0"/>
        <w:kinsoku/>
        <w:wordWrap/>
        <w:overflowPunct/>
        <w:topLinePunct w:val="0"/>
        <w:bidi w:val="0"/>
        <w:snapToGrid/>
        <w:spacing w:beforeAutospacing="0" w:afterAutospacing="0" w:line="360" w:lineRule="auto"/>
        <w:ind w:left="424" w:leftChars="202"/>
        <w:contextualSpacing/>
        <w:textAlignment w:val="auto"/>
        <w:rPr>
          <w:rFonts w:eastAsia="黑体"/>
          <w:color w:val="auto"/>
          <w:kern w:val="0"/>
          <w:szCs w:val="21"/>
        </w:rPr>
      </w:pPr>
      <w:r>
        <w:rPr>
          <w:rFonts w:eastAsia="黑体"/>
          <w:color w:val="auto"/>
          <w:kern w:val="0"/>
          <w:szCs w:val="21"/>
        </w:rPr>
        <w:t>十、参考文献及其他需要说明的事项</w:t>
      </w:r>
    </w:p>
    <w:p>
      <w:pPr>
        <w:keepNext w:val="0"/>
        <w:keepLines w:val="0"/>
        <w:pageBreakBefore w:val="0"/>
        <w:kinsoku/>
        <w:wordWrap/>
        <w:overflowPunct/>
        <w:topLinePunct w:val="0"/>
        <w:bidi w:val="0"/>
        <w:snapToGrid/>
        <w:spacing w:beforeAutospacing="0" w:afterAutospacing="0" w:line="360" w:lineRule="auto"/>
        <w:ind w:firstLine="424" w:firstLineChars="202"/>
        <w:contextualSpacing/>
        <w:textAlignment w:val="auto"/>
        <w:rPr>
          <w:rFonts w:hint="eastAsia" w:ascii="宋体" w:hAnsi="宋体"/>
          <w:color w:val="auto"/>
          <w:kern w:val="0"/>
          <w:szCs w:val="21"/>
        </w:rPr>
      </w:pPr>
      <w:r>
        <w:rPr>
          <w:rFonts w:hint="eastAsia" w:ascii="宋体" w:hAnsi="宋体"/>
          <w:color w:val="auto"/>
          <w:kern w:val="0"/>
          <w:szCs w:val="21"/>
        </w:rPr>
        <w:t>（一）参考文献</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1、《中华人民共和国畜牧法》</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Theme="minorEastAsia" w:hAnsiTheme="minorEastAsia" w:eastAsiaTheme="minorEastAsia" w:cstheme="minorEastAsia"/>
          <w:color w:val="auto"/>
          <w:kern w:val="0"/>
          <w:sz w:val="21"/>
          <w:szCs w:val="21"/>
          <w:lang w:val="en-US" w:eastAsia="zh-CN" w:bidi="ar-SA"/>
        </w:rPr>
      </w:pPr>
      <w:r>
        <w:rPr>
          <w:rFonts w:hint="eastAsia" w:asciiTheme="minorEastAsia" w:hAnsiTheme="minorEastAsia" w:eastAsiaTheme="minorEastAsia" w:cstheme="minorEastAsia"/>
          <w:color w:val="auto"/>
          <w:kern w:val="0"/>
          <w:sz w:val="21"/>
          <w:szCs w:val="21"/>
          <w:lang w:val="en-US" w:eastAsia="zh-CN" w:bidi="ar-SA"/>
        </w:rPr>
        <w:t>2、《中华人民共和国动物防疫法》</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rPr>
      </w:pPr>
      <w:r>
        <w:rPr>
          <w:rFonts w:hint="eastAsia" w:asciiTheme="minorEastAsia" w:hAnsiTheme="minorEastAsia" w:eastAsiaTheme="minorEastAsia" w:cstheme="minorEastAsia"/>
          <w:color w:val="auto"/>
          <w:kern w:val="0"/>
          <w:sz w:val="21"/>
          <w:szCs w:val="21"/>
          <w:lang w:val="en-US" w:eastAsia="zh-CN" w:bidi="ar-SA"/>
        </w:rPr>
        <w:t>3、</w:t>
      </w:r>
      <w:r>
        <w:rPr>
          <w:rFonts w:hint="eastAsia" w:ascii="宋体" w:hAnsi="宋体" w:eastAsia="宋体"/>
          <w:color w:val="auto"/>
          <w:kern w:val="0"/>
          <w:szCs w:val="21"/>
        </w:rPr>
        <w:t>《吉林省人民政府办公厅关于印发吉林省全域统筹推进畜禽粪污资源化利用实施方案的通知》（吉政办发〔2022〕5号）</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4、HJ 497-2009 畜禽养殖业污染治理工程技术规范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5、DB51/T 1825—2014牧区种牛场建设规范（四川省地方标准）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eastAsia="zh-CN"/>
        </w:rPr>
      </w:pPr>
      <w:r>
        <w:rPr>
          <w:rFonts w:hint="eastAsia" w:ascii="宋体" w:hAnsi="宋体" w:eastAsia="宋体"/>
          <w:color w:val="auto"/>
          <w:kern w:val="0"/>
          <w:szCs w:val="21"/>
          <w:lang w:val="en-US" w:eastAsia="zh-CN"/>
        </w:rPr>
        <w:t>6、DB 4117/T 326-2021奶牛种牛场建设要求（驻马店市地方标准）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eastAsia="zh-CN"/>
        </w:rPr>
      </w:pPr>
      <w:r>
        <w:rPr>
          <w:rFonts w:hint="eastAsia" w:ascii="宋体" w:hAnsi="宋体" w:eastAsia="宋体"/>
          <w:color w:val="auto"/>
          <w:kern w:val="0"/>
          <w:szCs w:val="21"/>
          <w:lang w:val="en-US" w:eastAsia="zh-CN"/>
        </w:rPr>
        <w:t>7、</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"https://std.samr.gov.cn/db/search/stdDBDetailed?id=ED052E52790491B6E05397BE0A0AA897"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DB61/T 1489.2-2021  秦川牛生产技术规范 第2部分：牛舍建设</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（陕西省地方标准）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8、</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"https://std.samr.gov.cn/db/search/stdDBDetailed?id=91D99E4D9DD52E24E05397BE0A0A3A10"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DB15/T 1328-2018  围产期牛舍建设工艺设计规范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（内蒙古地方标准）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9、</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"https://std.samr.gov.cn/db/search/stdDBDetailed?id=91D99E4D98EA2E24E05397BE0A0A3A10"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DB62/T 2853-2018  双列式暖棚牛舍建造技术规程</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（甘肃省地方标准）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10、</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"https://std.samr.gov.cn/db/search/stdDBDetailed?id=91D99E4D228F2E24E05397BE0A0A3A10"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DB65/T 3280-2011  新疆褐牛舍饲饲养管理</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（新疆省地方标准）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eastAsia" w:ascii="宋体" w:hAnsi="宋体" w:eastAsia="宋体"/>
          <w:color w:val="auto"/>
          <w:kern w:val="0"/>
          <w:szCs w:val="21"/>
          <w:lang w:val="en-US" w:eastAsia="zh-CN"/>
        </w:rPr>
      </w:pPr>
      <w:r>
        <w:rPr>
          <w:rFonts w:hint="eastAsia" w:ascii="宋体" w:hAnsi="宋体" w:eastAsia="宋体"/>
          <w:color w:val="auto"/>
          <w:kern w:val="0"/>
          <w:szCs w:val="21"/>
          <w:lang w:val="en-US" w:eastAsia="zh-CN"/>
        </w:rPr>
        <w:t>11、</w:t>
      </w:r>
      <w:r>
        <w:rPr>
          <w:rFonts w:hint="eastAsia" w:ascii="宋体" w:hAnsi="宋体" w:eastAsia="宋体"/>
          <w:color w:val="auto"/>
          <w:kern w:val="0"/>
          <w:szCs w:val="21"/>
          <w:lang w:val="en-US" w:eastAsia="zh-CN"/>
        </w:rPr>
        <w:fldChar w:fldCharType="begin"/>
      </w:r>
      <w:r>
        <w:rPr>
          <w:rFonts w:hint="eastAsia" w:ascii="宋体" w:hAnsi="宋体" w:eastAsia="宋体"/>
          <w:color w:val="auto"/>
          <w:kern w:val="0"/>
          <w:szCs w:val="21"/>
          <w:lang w:val="en-US" w:eastAsia="zh-CN"/>
        </w:rPr>
        <w:instrText xml:space="preserve"> HYPERLINK "https://std.samr.gov.cn/db/search/stdDBDetailed?id=91D99E4D783F2E24E05397BE0A0A3A10" \t "https://std.samr.gov.cn/search/_blank" </w:instrText>
      </w:r>
      <w:r>
        <w:rPr>
          <w:rFonts w:hint="eastAsia" w:ascii="宋体" w:hAnsi="宋体" w:eastAsia="宋体"/>
          <w:color w:val="auto"/>
          <w:kern w:val="0"/>
          <w:szCs w:val="21"/>
          <w:lang w:val="en-US" w:eastAsia="zh-CN"/>
        </w:rPr>
        <w:fldChar w:fldCharType="separate"/>
      </w:r>
      <w:r>
        <w:rPr>
          <w:rFonts w:hint="eastAsia" w:ascii="宋体" w:hAnsi="宋体" w:eastAsia="宋体"/>
          <w:color w:val="auto"/>
          <w:kern w:val="0"/>
          <w:szCs w:val="21"/>
          <w:lang w:val="en-US" w:eastAsia="zh-CN"/>
        </w:rPr>
        <w:t>DB64/T 572-2010  宁夏暖棚牛舍建设规范</w:t>
      </w:r>
      <w:r>
        <w:rPr>
          <w:rFonts w:hint="eastAsia" w:ascii="宋体" w:hAnsi="宋体" w:eastAsia="宋体"/>
          <w:color w:val="auto"/>
          <w:kern w:val="0"/>
          <w:szCs w:val="21"/>
          <w:lang w:val="en-US" w:eastAsia="zh-CN"/>
        </w:rPr>
        <w:fldChar w:fldCharType="end"/>
      </w:r>
      <w:r>
        <w:rPr>
          <w:rFonts w:hint="eastAsia" w:ascii="宋体" w:hAnsi="宋体" w:eastAsia="宋体"/>
          <w:color w:val="auto"/>
          <w:kern w:val="0"/>
          <w:szCs w:val="21"/>
          <w:lang w:val="en-US" w:eastAsia="zh-CN"/>
        </w:rPr>
        <w:t xml:space="preserve">（宁夏省地方标准） </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12、</w:t>
      </w:r>
      <w:r>
        <w:rPr>
          <w:rFonts w:hint="default" w:ascii="宋体" w:hAnsi="宋体" w:eastAsia="宋体"/>
          <w:color w:val="auto"/>
          <w:kern w:val="0"/>
          <w:szCs w:val="21"/>
          <w:lang w:val="en-US" w:eastAsia="zh-CN"/>
        </w:rPr>
        <w:t xml:space="preserve">NY 388 </w:t>
      </w:r>
      <w:r>
        <w:rPr>
          <w:rFonts w:hint="eastAsia" w:ascii="宋体" w:hAnsi="宋体" w:eastAsia="宋体"/>
          <w:color w:val="auto"/>
          <w:kern w:val="0"/>
          <w:szCs w:val="21"/>
          <w:lang w:val="en-US" w:eastAsia="zh-CN"/>
        </w:rPr>
        <w:t xml:space="preserve"> </w:t>
      </w:r>
      <w:r>
        <w:rPr>
          <w:rFonts w:hint="default" w:ascii="宋体" w:hAnsi="宋体" w:eastAsia="宋体"/>
          <w:color w:val="auto"/>
          <w:kern w:val="0"/>
          <w:szCs w:val="21"/>
          <w:lang w:val="en-US" w:eastAsia="zh-CN"/>
        </w:rPr>
        <w:t>畜禽场环境质量标准</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13、</w:t>
      </w:r>
      <w:r>
        <w:rPr>
          <w:rFonts w:hint="default" w:ascii="宋体" w:hAnsi="宋体" w:eastAsia="宋体"/>
          <w:color w:val="auto"/>
          <w:kern w:val="0"/>
          <w:szCs w:val="21"/>
          <w:lang w:val="en-US" w:eastAsia="zh-CN"/>
        </w:rPr>
        <w:t xml:space="preserve">NY 391 </w:t>
      </w:r>
      <w:r>
        <w:rPr>
          <w:rFonts w:hint="eastAsia" w:ascii="宋体" w:hAnsi="宋体" w:eastAsia="宋体"/>
          <w:color w:val="auto"/>
          <w:kern w:val="0"/>
          <w:szCs w:val="21"/>
          <w:lang w:val="en-US" w:eastAsia="zh-CN"/>
        </w:rPr>
        <w:t xml:space="preserve"> </w:t>
      </w:r>
      <w:r>
        <w:rPr>
          <w:rFonts w:hint="default" w:ascii="宋体" w:hAnsi="宋体" w:eastAsia="宋体"/>
          <w:color w:val="auto"/>
          <w:kern w:val="0"/>
          <w:szCs w:val="21"/>
          <w:lang w:val="en-US" w:eastAsia="zh-CN"/>
        </w:rPr>
        <w:t>绿色食品 产地环境质量</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14、</w:t>
      </w:r>
      <w:r>
        <w:rPr>
          <w:rFonts w:hint="default" w:ascii="宋体" w:hAnsi="宋体" w:eastAsia="宋体"/>
          <w:color w:val="auto"/>
          <w:kern w:val="0"/>
          <w:szCs w:val="21"/>
          <w:lang w:val="en-US" w:eastAsia="zh-CN"/>
        </w:rPr>
        <w:t xml:space="preserve">GB 50011 </w:t>
      </w:r>
      <w:r>
        <w:rPr>
          <w:rFonts w:hint="eastAsia" w:ascii="宋体" w:hAnsi="宋体" w:eastAsia="宋体"/>
          <w:color w:val="auto"/>
          <w:kern w:val="0"/>
          <w:szCs w:val="21"/>
          <w:lang w:val="en-US" w:eastAsia="zh-CN"/>
        </w:rPr>
        <w:t xml:space="preserve"> </w:t>
      </w:r>
      <w:r>
        <w:rPr>
          <w:rFonts w:hint="default" w:ascii="宋体" w:hAnsi="宋体" w:eastAsia="宋体"/>
          <w:color w:val="auto"/>
          <w:kern w:val="0"/>
          <w:szCs w:val="21"/>
          <w:lang w:val="en-US" w:eastAsia="zh-CN"/>
        </w:rPr>
        <w:t>建筑抗震设计规范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15、</w:t>
      </w:r>
      <w:r>
        <w:rPr>
          <w:rFonts w:hint="default" w:ascii="宋体" w:hAnsi="宋体" w:eastAsia="宋体"/>
          <w:color w:val="auto"/>
          <w:kern w:val="0"/>
          <w:szCs w:val="21"/>
          <w:lang w:val="en-US" w:eastAsia="zh-CN"/>
        </w:rPr>
        <w:t xml:space="preserve">NY/T 682 </w:t>
      </w:r>
      <w:r>
        <w:rPr>
          <w:rFonts w:hint="eastAsia" w:ascii="宋体" w:hAnsi="宋体" w:eastAsia="宋体"/>
          <w:color w:val="auto"/>
          <w:kern w:val="0"/>
          <w:szCs w:val="21"/>
          <w:lang w:val="en-US" w:eastAsia="zh-CN"/>
        </w:rPr>
        <w:t xml:space="preserve"> </w:t>
      </w:r>
      <w:r>
        <w:rPr>
          <w:rFonts w:hint="default" w:ascii="宋体" w:hAnsi="宋体" w:eastAsia="宋体"/>
          <w:color w:val="auto"/>
          <w:kern w:val="0"/>
          <w:szCs w:val="21"/>
          <w:lang w:val="en-US" w:eastAsia="zh-CN"/>
        </w:rPr>
        <w:t>畜禽场场区设计技术规范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16、</w:t>
      </w:r>
      <w:r>
        <w:rPr>
          <w:rFonts w:hint="default" w:ascii="宋体" w:hAnsi="宋体" w:eastAsia="宋体"/>
          <w:color w:val="auto"/>
          <w:kern w:val="0"/>
          <w:szCs w:val="21"/>
          <w:lang w:val="en-US" w:eastAsia="zh-CN"/>
        </w:rPr>
        <w:t>GB 50003  砌体结构设计规范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17、</w:t>
      </w:r>
      <w:r>
        <w:rPr>
          <w:rFonts w:hint="default" w:ascii="宋体" w:hAnsi="宋体" w:eastAsia="宋体"/>
          <w:color w:val="auto"/>
          <w:kern w:val="0"/>
          <w:szCs w:val="21"/>
          <w:lang w:val="en-US" w:eastAsia="zh-CN"/>
        </w:rPr>
        <w:t>GB 50007  建筑地基基础设计规范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18、</w:t>
      </w:r>
      <w:r>
        <w:rPr>
          <w:rFonts w:hint="default" w:ascii="宋体" w:hAnsi="宋体" w:eastAsia="宋体"/>
          <w:color w:val="auto"/>
          <w:kern w:val="0"/>
          <w:szCs w:val="21"/>
          <w:lang w:val="en-US" w:eastAsia="zh-CN"/>
        </w:rPr>
        <w:t>GB 50010  混凝土结构设计规范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19、</w:t>
      </w:r>
      <w:r>
        <w:rPr>
          <w:rFonts w:hint="default" w:ascii="宋体" w:hAnsi="宋体" w:eastAsia="宋体"/>
          <w:color w:val="auto"/>
          <w:kern w:val="0"/>
          <w:szCs w:val="21"/>
          <w:lang w:val="en-US" w:eastAsia="zh-CN"/>
        </w:rPr>
        <w:t>GB 50016  建筑设计防火规范</w:t>
      </w:r>
    </w:p>
    <w:p>
      <w:pPr>
        <w:keepNext w:val="0"/>
        <w:keepLines w:val="0"/>
        <w:pageBreakBefore w:val="0"/>
        <w:kinsoku/>
        <w:wordWrap/>
        <w:overflowPunct/>
        <w:topLinePunct w:val="0"/>
        <w:bidi w:val="0"/>
        <w:adjustRightInd/>
        <w:snapToGrid/>
        <w:spacing w:beforeAutospacing="0" w:afterAutospacing="0" w:line="360" w:lineRule="auto"/>
        <w:ind w:firstLine="424" w:firstLineChars="202"/>
        <w:contextualSpacing/>
        <w:textAlignment w:val="auto"/>
        <w:rPr>
          <w:rFonts w:hint="default" w:ascii="宋体" w:hAnsi="宋体" w:eastAsia="宋体"/>
          <w:color w:val="auto"/>
          <w:kern w:val="0"/>
          <w:szCs w:val="21"/>
          <w:lang w:val="en-US" w:eastAsia="zh-CN"/>
        </w:rPr>
      </w:pPr>
      <w:r>
        <w:rPr>
          <w:rFonts w:hint="eastAsia" w:ascii="宋体" w:hAnsi="宋体" w:eastAsia="宋体"/>
          <w:color w:val="auto"/>
          <w:kern w:val="0"/>
          <w:szCs w:val="21"/>
          <w:lang w:val="en-US" w:eastAsia="zh-CN"/>
        </w:rPr>
        <w:t>20、</w:t>
      </w:r>
      <w:r>
        <w:rPr>
          <w:rFonts w:hint="default" w:ascii="宋体" w:hAnsi="宋体" w:eastAsia="宋体"/>
          <w:color w:val="auto"/>
          <w:kern w:val="0"/>
          <w:szCs w:val="21"/>
          <w:lang w:val="en-US" w:eastAsia="zh-CN"/>
        </w:rPr>
        <w:t>GB 50352  民用建筑设计通则</w:t>
      </w:r>
    </w:p>
    <w:p>
      <w:pPr>
        <w:keepNext w:val="0"/>
        <w:keepLines w:val="0"/>
        <w:pageBreakBefore w:val="0"/>
        <w:kinsoku/>
        <w:wordWrap/>
        <w:overflowPunct/>
        <w:topLinePunct w:val="0"/>
        <w:bidi w:val="0"/>
        <w:snapToGrid/>
        <w:spacing w:beforeAutospacing="0" w:afterAutospacing="0" w:line="360" w:lineRule="auto"/>
        <w:ind w:firstLine="424" w:firstLineChars="202"/>
        <w:contextualSpacing/>
        <w:textAlignment w:val="auto"/>
        <w:rPr>
          <w:rFonts w:ascii="宋体" w:hAnsi="宋体"/>
          <w:bCs/>
          <w:color w:val="auto"/>
          <w:szCs w:val="21"/>
        </w:rPr>
      </w:pPr>
      <w:r>
        <w:rPr>
          <w:rFonts w:hint="eastAsia" w:ascii="宋体" w:hAnsi="宋体"/>
          <w:bCs/>
          <w:color w:val="auto"/>
          <w:szCs w:val="21"/>
        </w:rPr>
        <w:t>（二）其他需要说明事项</w:t>
      </w:r>
    </w:p>
    <w:p>
      <w:pPr>
        <w:keepNext w:val="0"/>
        <w:keepLines w:val="0"/>
        <w:pageBreakBefore w:val="0"/>
        <w:kinsoku/>
        <w:wordWrap/>
        <w:overflowPunct/>
        <w:topLinePunct w:val="0"/>
        <w:bidi w:val="0"/>
        <w:snapToGrid/>
        <w:spacing w:beforeAutospacing="0" w:afterAutospacing="0" w:line="360" w:lineRule="auto"/>
        <w:ind w:firstLine="424" w:firstLineChars="202"/>
        <w:contextualSpacing/>
        <w:textAlignment w:val="auto"/>
        <w:rPr>
          <w:bCs/>
          <w:color w:val="auto"/>
          <w:szCs w:val="21"/>
        </w:rPr>
      </w:pPr>
      <w:r>
        <w:rPr>
          <w:rFonts w:hint="eastAsia"/>
          <w:bCs/>
          <w:color w:val="auto"/>
          <w:szCs w:val="21"/>
        </w:rPr>
        <w:t>无</w:t>
      </w:r>
      <w:r>
        <w:rPr>
          <w:bCs/>
          <w:color w:val="auto"/>
          <w:szCs w:val="21"/>
        </w:rPr>
        <w:t>。</w:t>
      </w:r>
    </w:p>
    <w:p>
      <w:pPr>
        <w:keepNext w:val="0"/>
        <w:keepLines w:val="0"/>
        <w:pageBreakBefore w:val="0"/>
        <w:kinsoku/>
        <w:wordWrap/>
        <w:overflowPunct/>
        <w:topLinePunct w:val="0"/>
        <w:bidi w:val="0"/>
        <w:snapToGrid/>
        <w:spacing w:beforeAutospacing="0" w:afterAutospacing="0" w:line="360" w:lineRule="auto"/>
        <w:jc w:val="right"/>
        <w:textAlignment w:val="auto"/>
        <w:rPr>
          <w:rFonts w:ascii="黑体" w:hAnsi="黑体" w:eastAsia="黑体"/>
          <w:color w:val="auto"/>
          <w:szCs w:val="21"/>
        </w:rPr>
      </w:pPr>
    </w:p>
    <w:p>
      <w:pPr>
        <w:keepNext w:val="0"/>
        <w:keepLines w:val="0"/>
        <w:pageBreakBefore w:val="0"/>
        <w:kinsoku/>
        <w:wordWrap/>
        <w:overflowPunct/>
        <w:topLinePunct w:val="0"/>
        <w:bidi w:val="0"/>
        <w:snapToGrid/>
        <w:spacing w:beforeAutospacing="0" w:afterAutospacing="0" w:line="360" w:lineRule="auto"/>
        <w:jc w:val="right"/>
        <w:textAlignment w:val="auto"/>
        <w:rPr>
          <w:rFonts w:ascii="黑体" w:hAnsi="黑体" w:eastAsia="黑体"/>
          <w:color w:val="auto"/>
          <w:szCs w:val="21"/>
        </w:rPr>
      </w:pPr>
      <w:r>
        <w:rPr>
          <w:rFonts w:ascii="黑体" w:hAnsi="黑体" w:eastAsia="黑体"/>
          <w:color w:val="auto"/>
          <w:szCs w:val="21"/>
        </w:rPr>
        <w:t>《</w:t>
      </w:r>
      <w:r>
        <w:rPr>
          <w:rFonts w:hint="eastAsia" w:ascii="宋体" w:hAnsi="宋体" w:eastAsia="宋体" w:cs="宋体"/>
          <w:kern w:val="0"/>
          <w:szCs w:val="21"/>
          <w:lang w:val="en-US" w:eastAsia="zh-CN"/>
        </w:rPr>
        <w:t>肉牛牛舍建设规范 第2部分：种公牛</w:t>
      </w:r>
      <w:r>
        <w:rPr>
          <w:rFonts w:ascii="黑体" w:hAnsi="黑体" w:eastAsia="黑体"/>
          <w:color w:val="auto"/>
          <w:szCs w:val="21"/>
        </w:rPr>
        <w:t>》标准起草小组</w:t>
      </w:r>
    </w:p>
    <w:p>
      <w:pPr>
        <w:keepNext w:val="0"/>
        <w:keepLines w:val="0"/>
        <w:pageBreakBefore w:val="0"/>
        <w:kinsoku/>
        <w:wordWrap/>
        <w:overflowPunct/>
        <w:topLinePunct w:val="0"/>
        <w:bidi w:val="0"/>
        <w:snapToGrid/>
        <w:spacing w:beforeAutospacing="0" w:afterAutospacing="0" w:line="360" w:lineRule="auto"/>
        <w:ind w:right="420"/>
        <w:jc w:val="right"/>
        <w:textAlignment w:val="auto"/>
        <w:rPr>
          <w:rFonts w:hint="default" w:ascii="Times New Roman" w:hAnsi="Times New Roman" w:cs="Times New Roman"/>
          <w:color w:val="auto"/>
          <w:lang w:val="en-US" w:eastAsia="zh-CN"/>
        </w:rPr>
      </w:pPr>
      <w:r>
        <w:rPr>
          <w:rFonts w:ascii="黑体" w:hAnsi="黑体" w:eastAsia="黑体"/>
          <w:color w:val="auto"/>
          <w:szCs w:val="21"/>
        </w:rPr>
        <w:t>202</w:t>
      </w:r>
      <w:r>
        <w:rPr>
          <w:rFonts w:hint="eastAsia" w:ascii="黑体" w:hAnsi="黑体" w:eastAsia="黑体"/>
          <w:color w:val="auto"/>
          <w:szCs w:val="21"/>
          <w:lang w:val="en-US" w:eastAsia="zh-CN"/>
        </w:rPr>
        <w:t>4</w:t>
      </w:r>
      <w:r>
        <w:rPr>
          <w:rFonts w:ascii="黑体" w:hAnsi="黑体" w:eastAsia="黑体"/>
          <w:color w:val="auto"/>
          <w:szCs w:val="21"/>
        </w:rPr>
        <w:t>年</w:t>
      </w:r>
      <w:r>
        <w:rPr>
          <w:rFonts w:hint="eastAsia" w:ascii="黑体" w:hAnsi="黑体" w:eastAsia="黑体"/>
          <w:color w:val="auto"/>
          <w:szCs w:val="21"/>
          <w:lang w:val="en-US" w:eastAsia="zh-CN"/>
        </w:rPr>
        <w:t>2</w:t>
      </w:r>
      <w:r>
        <w:rPr>
          <w:rFonts w:ascii="黑体" w:hAnsi="黑体" w:eastAsia="黑体"/>
          <w:color w:val="auto"/>
          <w:szCs w:val="21"/>
        </w:rPr>
        <w:t>月</w:t>
      </w:r>
      <w:r>
        <w:rPr>
          <w:rFonts w:hint="eastAsia" w:ascii="黑体" w:hAnsi="黑体" w:eastAsia="黑体"/>
          <w:color w:val="auto"/>
          <w:szCs w:val="21"/>
          <w:lang w:val="en-US" w:eastAsia="zh-CN"/>
        </w:rPr>
        <w:t>27</w:t>
      </w:r>
      <w:r>
        <w:rPr>
          <w:rFonts w:ascii="黑体" w:hAnsi="黑体" w:eastAsia="黑体"/>
          <w:color w:val="auto"/>
          <w:szCs w:val="21"/>
        </w:rPr>
        <w:t>日</w:t>
      </w:r>
    </w:p>
    <w:sectPr>
      <w:pgSz w:w="11906" w:h="16838"/>
      <w:pgMar w:top="1440" w:right="1236" w:bottom="1440" w:left="123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2BF884"/>
    <w:multiLevelType w:val="singleLevel"/>
    <w:tmpl w:val="712BF88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3YWM2MDE3M2ExM2IyNzVhYWY2ZjE1ZGNhOWI3MWIifQ=="/>
  </w:docVars>
  <w:rsids>
    <w:rsidRoot w:val="00000000"/>
    <w:rsid w:val="011B6997"/>
    <w:rsid w:val="032B6C3A"/>
    <w:rsid w:val="03DB41BC"/>
    <w:rsid w:val="04185410"/>
    <w:rsid w:val="04481393"/>
    <w:rsid w:val="052D5E14"/>
    <w:rsid w:val="064918B1"/>
    <w:rsid w:val="06624721"/>
    <w:rsid w:val="069B7C33"/>
    <w:rsid w:val="08E12275"/>
    <w:rsid w:val="08F875BE"/>
    <w:rsid w:val="093E32EC"/>
    <w:rsid w:val="0A8C662D"/>
    <w:rsid w:val="0E8F2773"/>
    <w:rsid w:val="0F19231F"/>
    <w:rsid w:val="0F6A5388"/>
    <w:rsid w:val="10BA3ED2"/>
    <w:rsid w:val="11B14A9C"/>
    <w:rsid w:val="12107727"/>
    <w:rsid w:val="123F22E5"/>
    <w:rsid w:val="12A367ED"/>
    <w:rsid w:val="139A7BF0"/>
    <w:rsid w:val="15325C06"/>
    <w:rsid w:val="15C26F8A"/>
    <w:rsid w:val="15E84E5B"/>
    <w:rsid w:val="16C709B8"/>
    <w:rsid w:val="17123F41"/>
    <w:rsid w:val="175977D3"/>
    <w:rsid w:val="17A10E21"/>
    <w:rsid w:val="198F3627"/>
    <w:rsid w:val="1A2E4BEE"/>
    <w:rsid w:val="1A8C7B66"/>
    <w:rsid w:val="1ADA4F7F"/>
    <w:rsid w:val="1B270062"/>
    <w:rsid w:val="1B3B043B"/>
    <w:rsid w:val="1BB82407"/>
    <w:rsid w:val="1E110AAE"/>
    <w:rsid w:val="1F374545"/>
    <w:rsid w:val="1F3D58D3"/>
    <w:rsid w:val="206A26F8"/>
    <w:rsid w:val="21473FE2"/>
    <w:rsid w:val="23BC326A"/>
    <w:rsid w:val="23C837E3"/>
    <w:rsid w:val="24196440"/>
    <w:rsid w:val="247C0C4C"/>
    <w:rsid w:val="24B6415E"/>
    <w:rsid w:val="253A6638"/>
    <w:rsid w:val="276E0D20"/>
    <w:rsid w:val="283261F1"/>
    <w:rsid w:val="28577A06"/>
    <w:rsid w:val="289F315B"/>
    <w:rsid w:val="2920411D"/>
    <w:rsid w:val="29CE3CF8"/>
    <w:rsid w:val="2AB7478C"/>
    <w:rsid w:val="2B6F32B8"/>
    <w:rsid w:val="2BED3554"/>
    <w:rsid w:val="2DC07DFB"/>
    <w:rsid w:val="2EC674AB"/>
    <w:rsid w:val="2EED10C4"/>
    <w:rsid w:val="2EFE0843"/>
    <w:rsid w:val="31727B20"/>
    <w:rsid w:val="32342B66"/>
    <w:rsid w:val="3273368E"/>
    <w:rsid w:val="32A73338"/>
    <w:rsid w:val="3316226B"/>
    <w:rsid w:val="33BB4D16"/>
    <w:rsid w:val="3627310D"/>
    <w:rsid w:val="36407D2B"/>
    <w:rsid w:val="36A72400"/>
    <w:rsid w:val="37A61E10"/>
    <w:rsid w:val="399C796E"/>
    <w:rsid w:val="3A5C0EAC"/>
    <w:rsid w:val="3A8703DE"/>
    <w:rsid w:val="3B0D21A6"/>
    <w:rsid w:val="3B8561E0"/>
    <w:rsid w:val="3DA2751D"/>
    <w:rsid w:val="3E021D6A"/>
    <w:rsid w:val="3E0D0E3B"/>
    <w:rsid w:val="3E3C796E"/>
    <w:rsid w:val="3FAE3F57"/>
    <w:rsid w:val="3FF96F57"/>
    <w:rsid w:val="41B31CF9"/>
    <w:rsid w:val="41BB24D1"/>
    <w:rsid w:val="43291B47"/>
    <w:rsid w:val="448636F5"/>
    <w:rsid w:val="486904B4"/>
    <w:rsid w:val="486C0E54"/>
    <w:rsid w:val="48DD765B"/>
    <w:rsid w:val="4B9D1FBA"/>
    <w:rsid w:val="4D113D78"/>
    <w:rsid w:val="4D9C7AE5"/>
    <w:rsid w:val="4DD74FC1"/>
    <w:rsid w:val="4EAF3848"/>
    <w:rsid w:val="4F1D07B2"/>
    <w:rsid w:val="50373506"/>
    <w:rsid w:val="50A15412"/>
    <w:rsid w:val="50E61077"/>
    <w:rsid w:val="50F87728"/>
    <w:rsid w:val="51A11B6E"/>
    <w:rsid w:val="52A86F2C"/>
    <w:rsid w:val="52EF06B7"/>
    <w:rsid w:val="52F061DD"/>
    <w:rsid w:val="534C5B09"/>
    <w:rsid w:val="53733096"/>
    <w:rsid w:val="54530D3D"/>
    <w:rsid w:val="549709CB"/>
    <w:rsid w:val="54FF095A"/>
    <w:rsid w:val="55F81F79"/>
    <w:rsid w:val="56074F0F"/>
    <w:rsid w:val="57925AB5"/>
    <w:rsid w:val="58FF53CC"/>
    <w:rsid w:val="594A2AEB"/>
    <w:rsid w:val="599E6993"/>
    <w:rsid w:val="5A497263"/>
    <w:rsid w:val="5A6F20DD"/>
    <w:rsid w:val="5BB57FC4"/>
    <w:rsid w:val="5E033269"/>
    <w:rsid w:val="5F092B01"/>
    <w:rsid w:val="60681AA9"/>
    <w:rsid w:val="60B46AEE"/>
    <w:rsid w:val="60E5450E"/>
    <w:rsid w:val="616D55C9"/>
    <w:rsid w:val="62481B92"/>
    <w:rsid w:val="62AC3ECF"/>
    <w:rsid w:val="63E61662"/>
    <w:rsid w:val="64B4350F"/>
    <w:rsid w:val="656E190F"/>
    <w:rsid w:val="66495ED8"/>
    <w:rsid w:val="669F3F4A"/>
    <w:rsid w:val="66C86C2E"/>
    <w:rsid w:val="67193AFD"/>
    <w:rsid w:val="67DB7004"/>
    <w:rsid w:val="68A45648"/>
    <w:rsid w:val="699102C2"/>
    <w:rsid w:val="69A600B8"/>
    <w:rsid w:val="6A4C5F97"/>
    <w:rsid w:val="6CBC3D39"/>
    <w:rsid w:val="6CC83FFB"/>
    <w:rsid w:val="6CCD33BF"/>
    <w:rsid w:val="6CDF30F3"/>
    <w:rsid w:val="6D2079CC"/>
    <w:rsid w:val="6D374CDD"/>
    <w:rsid w:val="6D7E290C"/>
    <w:rsid w:val="6F5B73A8"/>
    <w:rsid w:val="6FD131C7"/>
    <w:rsid w:val="703A5210"/>
    <w:rsid w:val="7060454A"/>
    <w:rsid w:val="709667A2"/>
    <w:rsid w:val="71290DE0"/>
    <w:rsid w:val="718304F0"/>
    <w:rsid w:val="72395053"/>
    <w:rsid w:val="75C64E50"/>
    <w:rsid w:val="77CA50CB"/>
    <w:rsid w:val="77ED2B68"/>
    <w:rsid w:val="78715547"/>
    <w:rsid w:val="7ABE07EB"/>
    <w:rsid w:val="7B2B7746"/>
    <w:rsid w:val="7B821819"/>
    <w:rsid w:val="7BD36518"/>
    <w:rsid w:val="7EBC2826"/>
    <w:rsid w:val="7F0864D9"/>
    <w:rsid w:val="7F3E639F"/>
    <w:rsid w:val="7FA36202"/>
    <w:rsid w:val="7FCA0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16"/>
      <w:szCs w:val="16"/>
      <w:lang w:val="en-US" w:eastAsia="en-US" w:bidi="ar-SA"/>
    </w:r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Hyperlink"/>
    <w:basedOn w:val="7"/>
    <w:autoRedefine/>
    <w:qFormat/>
    <w:uiPriority w:val="0"/>
    <w:rPr>
      <w:color w:val="0000FF"/>
      <w:u w:val="single"/>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章标题"/>
    <w:next w:val="11"/>
    <w:autoRedefine/>
    <w:qFormat/>
    <w:uiPriority w:val="0"/>
    <w:pPr>
      <w:tabs>
        <w:tab w:val="left" w:pos="1260"/>
      </w:tabs>
      <w:spacing w:before="156" w:beforeLines="50" w:after="156" w:afterLines="50"/>
      <w:ind w:left="210" w:hanging="419"/>
      <w:jc w:val="both"/>
      <w:outlineLvl w:val="1"/>
    </w:pPr>
    <w:rPr>
      <w:rFonts w:ascii="黑体" w:hAnsi="Times New Roman" w:eastAsia="黑体" w:cs="Times New Roman"/>
      <w:sz w:val="21"/>
      <w:lang w:val="en-US" w:eastAsia="zh-CN" w:bidi="ar-SA"/>
    </w:rPr>
  </w:style>
  <w:style w:type="paragraph" w:customStyle="1" w:styleId="11">
    <w:name w:val="段"/>
    <w:autoRedefine/>
    <w:qFormat/>
    <w:uiPriority w:val="0"/>
    <w:pPr>
      <w:autoSpaceDE w:val="0"/>
      <w:autoSpaceDN w:val="0"/>
      <w:ind w:firstLine="200" w:firstLineChars="200"/>
      <w:jc w:val="both"/>
    </w:pPr>
    <w:rPr>
      <w:rFonts w:ascii="宋体" w:hAnsiTheme="minorHAnsi" w:eastAsiaTheme="minorEastAsia" w:cstheme="minorBidi"/>
      <w:kern w:val="2"/>
      <w:sz w:val="21"/>
      <w:szCs w:val="22"/>
      <w:lang w:val="en-US" w:eastAsia="zh-CN" w:bidi="ar-SA"/>
    </w:rPr>
  </w:style>
  <w:style w:type="paragraph" w:customStyle="1" w:styleId="12">
    <w:name w:val="Default"/>
    <w:autoRedefine/>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3">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11286</Words>
  <Characters>12034</Characters>
  <Lines>0</Lines>
  <Paragraphs>0</Paragraphs>
  <TotalTime>48</TotalTime>
  <ScaleCrop>false</ScaleCrop>
  <LinksUpToDate>false</LinksUpToDate>
  <CharactersWithSpaces>12206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2024-03-04T11:05:00Z</dcterms:created>
  <dc:creator>LENOVO</dc:creator>
  <cp:lastModifiedBy>slby</cp:lastModifiedBy>
  <dcterms:modified xsi:type="dcterms:W3CDTF">2024-08-07T07:11:06Z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B8A25952391F4920A57DF3C75CF6CD6A_13</vt:lpwstr>
  </property>
</Properties>
</file>