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D8015B">
      <w:pPr>
        <w:keepNext w:val="0"/>
        <w:keepLines w:val="0"/>
        <w:pageBreakBefore w:val="0"/>
        <w:widowControl w:val="0"/>
        <w:kinsoku/>
        <w:wordWrap/>
        <w:overflowPunct/>
        <w:topLinePunct w:val="0"/>
        <w:autoSpaceDE/>
        <w:autoSpaceDN/>
        <w:bidi w:val="0"/>
        <w:adjustRightInd/>
        <w:snapToGrid/>
        <w:spacing w:line="700" w:lineRule="exact"/>
        <w:jc w:val="center"/>
        <w:textAlignment w:val="auto"/>
        <w:rPr>
          <w:rFonts w:hint="eastAsia" w:ascii="仿宋_GB2312" w:hAnsi="仿宋_GB2312" w:eastAsia="仿宋_GB2312" w:cs="仿宋_GB2312"/>
          <w:sz w:val="32"/>
          <w:szCs w:val="32"/>
        </w:rPr>
      </w:pPr>
    </w:p>
    <w:p w14:paraId="5FFBB4E6">
      <w:pPr>
        <w:jc w:val="center"/>
        <w:rPr>
          <w:rFonts w:hint="eastAsia" w:ascii="黑体" w:hAnsi="黑体" w:eastAsia="黑体" w:cs="Times New Roman"/>
          <w:sz w:val="24"/>
          <w:szCs w:val="24"/>
        </w:rPr>
      </w:pPr>
      <w:r>
        <w:rPr>
          <w:rFonts w:hint="eastAsia" w:ascii="黑体" w:hAnsi="黑体" w:eastAsia="黑体" w:cs="Times New Roman"/>
          <w:sz w:val="24"/>
          <w:szCs w:val="24"/>
        </w:rPr>
        <w:t>长春市地方标准</w:t>
      </w:r>
    </w:p>
    <w:p w14:paraId="6A685A3F">
      <w:pPr>
        <w:jc w:val="center"/>
        <w:rPr>
          <w:rFonts w:hint="eastAsia" w:ascii="黑体" w:hAnsi="黑体" w:eastAsia="黑体" w:cs="Times New Roman"/>
          <w:sz w:val="24"/>
          <w:szCs w:val="24"/>
        </w:rPr>
      </w:pPr>
      <w:r>
        <w:rPr>
          <w:rFonts w:hint="eastAsia" w:ascii="黑体" w:hAnsi="黑体" w:eastAsia="黑体" w:cs="Times New Roman"/>
          <w:sz w:val="24"/>
          <w:szCs w:val="24"/>
        </w:rPr>
        <w:t>《</w:t>
      </w:r>
      <w:r>
        <w:rPr>
          <w:rFonts w:hint="eastAsia" w:ascii="黑体" w:hAnsi="黑体" w:eastAsia="黑体" w:cs="Times New Roman"/>
          <w:sz w:val="24"/>
          <w:szCs w:val="24"/>
          <w:lang w:val="en-US" w:eastAsia="zh-CN"/>
        </w:rPr>
        <w:t>专利申请预审规范</w:t>
      </w:r>
      <w:r>
        <w:rPr>
          <w:rFonts w:hint="eastAsia" w:ascii="黑体" w:hAnsi="黑体" w:eastAsia="黑体" w:cs="Times New Roman"/>
          <w:sz w:val="24"/>
          <w:szCs w:val="24"/>
        </w:rPr>
        <w:t>》</w:t>
      </w:r>
    </w:p>
    <w:p w14:paraId="0E4609B5">
      <w:pPr>
        <w:jc w:val="center"/>
        <w:rPr>
          <w:rFonts w:hint="eastAsia" w:ascii="黑体" w:hAnsi="黑体" w:eastAsia="黑体" w:cs="Times New Roman"/>
          <w:sz w:val="24"/>
          <w:szCs w:val="24"/>
        </w:rPr>
      </w:pPr>
      <w:r>
        <w:rPr>
          <w:rFonts w:hint="eastAsia" w:ascii="黑体" w:hAnsi="黑体" w:eastAsia="黑体" w:cs="Times New Roman"/>
          <w:sz w:val="24"/>
          <w:szCs w:val="24"/>
        </w:rPr>
        <w:t>编制说明</w:t>
      </w:r>
    </w:p>
    <w:p w14:paraId="3141BC67">
      <w:pPr>
        <w:jc w:val="center"/>
        <w:rPr>
          <w:rFonts w:ascii="Calibri" w:hAnsi="Calibri" w:eastAsia="宋体" w:cs="Times New Roman"/>
          <w:szCs w:val="21"/>
        </w:rPr>
      </w:pPr>
      <w:r>
        <w:rPr>
          <w:rFonts w:hint="eastAsia" w:ascii="黑体" w:hAnsi="黑体" w:eastAsia="黑体" w:cs="Times New Roman"/>
          <w:sz w:val="24"/>
          <w:szCs w:val="24"/>
        </w:rPr>
        <w:t>（征求意见稿</w:t>
      </w:r>
      <w:r>
        <w:rPr>
          <w:rFonts w:ascii="黑体" w:hAnsi="黑体" w:eastAsia="黑体" w:cs="Times New Roman"/>
          <w:sz w:val="24"/>
          <w:szCs w:val="24"/>
        </w:rPr>
        <w:t>）</w:t>
      </w:r>
    </w:p>
    <w:p w14:paraId="350E4CB6">
      <w:pPr>
        <w:jc w:val="both"/>
        <w:rPr>
          <w:rFonts w:hint="eastAsia" w:ascii="黑体" w:hAnsi="黑体" w:eastAsia="黑体" w:cs="Times New Roman"/>
          <w:sz w:val="24"/>
          <w:szCs w:val="24"/>
        </w:rPr>
      </w:pPr>
    </w:p>
    <w:p w14:paraId="6D5C5930">
      <w:pPr>
        <w:jc w:val="both"/>
        <w:rPr>
          <w:rFonts w:hint="eastAsia" w:ascii="黑体" w:hAnsi="黑体" w:eastAsia="黑体" w:cs="Times New Roman"/>
          <w:sz w:val="24"/>
          <w:szCs w:val="24"/>
        </w:rPr>
      </w:pPr>
    </w:p>
    <w:p w14:paraId="0CC16FD7">
      <w:pPr>
        <w:widowControl/>
        <w:numPr>
          <w:ilvl w:val="0"/>
          <w:numId w:val="0"/>
        </w:numPr>
        <w:spacing w:line="360" w:lineRule="auto"/>
        <w:ind w:firstLine="420" w:firstLineChars="200"/>
        <w:jc w:val="left"/>
        <w:rPr>
          <w:rFonts w:hint="eastAsia" w:ascii="黑体" w:hAnsi="宋体" w:eastAsia="黑体"/>
          <w:kern w:val="0"/>
          <w:szCs w:val="21"/>
          <w:lang w:eastAsia="zh-CN"/>
        </w:rPr>
      </w:pPr>
      <w:r>
        <w:rPr>
          <w:rFonts w:hint="eastAsia" w:ascii="黑体" w:hAnsi="宋体" w:eastAsia="黑体"/>
          <w:kern w:val="0"/>
          <w:szCs w:val="21"/>
          <w:lang w:eastAsia="zh-CN"/>
        </w:rPr>
        <w:t>一、工作情况</w:t>
      </w:r>
    </w:p>
    <w:p w14:paraId="2AA37DB2">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（一）任务来源</w:t>
      </w:r>
    </w:p>
    <w:p w14:paraId="252D7AC7">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本任务来源于长春市市场监督管理局《关于下达2024年度长春市地方标准制定项目计划的通知》，计划编号为DBXM22-2024，计划名称为《专利申请预审规范》</w:t>
      </w:r>
      <w:r>
        <w:rPr>
          <w:rFonts w:hint="eastAsia" w:ascii="宋体" w:hAnsi="宋体" w:cs="宋体"/>
          <w:color w:val="000000" w:themeColor="text1"/>
          <w:kern w:val="0"/>
          <w:szCs w:val="21"/>
          <w14:textFill>
            <w14:solidFill>
              <w14:schemeClr w14:val="tx1"/>
            </w14:solidFill>
          </w14:textFill>
        </w:rPr>
        <w:t>。</w:t>
      </w:r>
    </w:p>
    <w:p w14:paraId="5B062E8D">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（二）起草单位、协作单位</w:t>
      </w:r>
    </w:p>
    <w:p w14:paraId="5848DD96">
      <w:pPr>
        <w:widowControl/>
        <w:spacing w:line="360" w:lineRule="auto"/>
        <w:ind w:firstLine="420" w:firstLineChars="200"/>
        <w:jc w:val="left"/>
        <w:rPr>
          <w:rFonts w:hint="eastAsia" w:ascii="宋体" w:hAnsi="宋体" w:cs="宋体"/>
          <w:color w:val="0000FF"/>
          <w:kern w:val="0"/>
          <w:szCs w:val="21"/>
          <w:lang w:val="en-US" w:eastAsia="zh-CN"/>
        </w:rPr>
      </w:pPr>
      <w:r>
        <w:rPr>
          <w:rFonts w:hint="eastAsia" w:ascii="宋体" w:hAnsi="宋体" w:cs="宋体"/>
          <w:kern w:val="0"/>
          <w:szCs w:val="21"/>
        </w:rPr>
        <w:t>本标准由长春市知识产权保护中心提出并归口。长春市知识产权保护中心、长春市标准研究院（长春市WTO/TBT咨询中心）（以下简称长春市标准研究院）共同起草。</w:t>
      </w:r>
    </w:p>
    <w:p w14:paraId="30F20680">
      <w:pPr>
        <w:widowControl/>
        <w:numPr>
          <w:ilvl w:val="0"/>
          <w:numId w:val="0"/>
        </w:numPr>
        <w:spacing w:line="360" w:lineRule="auto"/>
        <w:ind w:firstLine="420" w:firstLineChars="200"/>
        <w:jc w:val="left"/>
        <w:rPr>
          <w:rFonts w:hint="eastAsia" w:ascii="黑体" w:hAnsi="宋体" w:eastAsia="黑体"/>
          <w:kern w:val="0"/>
          <w:szCs w:val="21"/>
          <w:lang w:eastAsia="zh-CN"/>
        </w:rPr>
      </w:pPr>
      <w:r>
        <w:rPr>
          <w:rFonts w:hint="eastAsia" w:ascii="黑体" w:hAnsi="宋体" w:eastAsia="黑体"/>
          <w:kern w:val="0"/>
          <w:szCs w:val="21"/>
          <w:lang w:eastAsia="zh-CN"/>
        </w:rPr>
        <w:t>二、制</w:t>
      </w:r>
      <w:r>
        <w:rPr>
          <w:rFonts w:hint="eastAsia" w:ascii="黑体" w:hAnsi="宋体" w:eastAsia="黑体"/>
          <w:color w:val="auto"/>
          <w:kern w:val="0"/>
          <w:szCs w:val="21"/>
          <w:lang w:val="en-US" w:eastAsia="zh-CN"/>
        </w:rPr>
        <w:t>定</w:t>
      </w:r>
      <w:r>
        <w:rPr>
          <w:rFonts w:hint="eastAsia" w:ascii="黑体" w:hAnsi="宋体" w:eastAsia="黑体"/>
          <w:color w:val="auto"/>
          <w:kern w:val="0"/>
          <w:szCs w:val="21"/>
          <w:lang w:eastAsia="zh-CN"/>
        </w:rPr>
        <w:t>标准的必</w:t>
      </w:r>
      <w:r>
        <w:rPr>
          <w:rFonts w:hint="eastAsia" w:ascii="黑体" w:hAnsi="宋体" w:eastAsia="黑体"/>
          <w:kern w:val="0"/>
          <w:szCs w:val="21"/>
          <w:lang w:eastAsia="zh-CN"/>
        </w:rPr>
        <w:t>要性、目的和意义</w:t>
      </w:r>
    </w:p>
    <w:p w14:paraId="0E1EA7FF">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（一）必要性</w:t>
      </w:r>
    </w:p>
    <w:p w14:paraId="41100CF0">
      <w:pPr>
        <w:widowControl/>
        <w:spacing w:line="360" w:lineRule="auto"/>
        <w:ind w:firstLine="420" w:firstLineChars="200"/>
        <w:jc w:val="left"/>
        <w:rPr>
          <w:rFonts w:hint="default" w:ascii="宋体" w:hAnsi="宋体" w:cs="宋体"/>
          <w:kern w:val="0"/>
          <w:szCs w:val="21"/>
          <w:lang w:val="en-US" w:eastAsia="zh-CN"/>
        </w:rPr>
      </w:pPr>
      <w:r>
        <w:rPr>
          <w:rFonts w:hint="default" w:ascii="宋体" w:hAnsi="宋体" w:cs="宋体"/>
          <w:kern w:val="0"/>
          <w:szCs w:val="21"/>
          <w:lang w:val="en-US" w:eastAsia="zh-CN"/>
        </w:rPr>
        <w:t>当前，知识产权工作已转向高质量发展新阶段，规范专利申请预审业务</w:t>
      </w:r>
      <w:r>
        <w:rPr>
          <w:rFonts w:hint="eastAsia" w:ascii="宋体" w:hAnsi="宋体" w:cs="宋体"/>
          <w:kern w:val="0"/>
          <w:szCs w:val="21"/>
          <w:lang w:val="en-US" w:eastAsia="zh-CN"/>
        </w:rPr>
        <w:t>行为</w:t>
      </w:r>
      <w:r>
        <w:rPr>
          <w:rFonts w:hint="default" w:ascii="宋体" w:hAnsi="宋体" w:cs="宋体"/>
          <w:kern w:val="0"/>
          <w:szCs w:val="21"/>
          <w:lang w:val="en-US" w:eastAsia="zh-CN"/>
        </w:rPr>
        <w:t>既是落实党中央、国务院决策部署的重要举措，也是维护知识产权制度稳定运行、强化知识产权保护、促进高质量发展的必然要求。</w:t>
      </w:r>
    </w:p>
    <w:p w14:paraId="017BD715">
      <w:pPr>
        <w:widowControl/>
        <w:spacing w:line="360" w:lineRule="auto"/>
        <w:ind w:firstLine="420" w:firstLineChars="200"/>
        <w:jc w:val="left"/>
        <w:rPr>
          <w:rFonts w:hint="default" w:ascii="宋体" w:hAnsi="宋体" w:cs="宋体"/>
          <w:kern w:val="0"/>
          <w:szCs w:val="21"/>
          <w:lang w:val="en-US" w:eastAsia="zh-CN"/>
        </w:rPr>
      </w:pPr>
      <w:r>
        <w:rPr>
          <w:rFonts w:hint="eastAsia" w:ascii="宋体" w:hAnsi="宋体" w:cs="宋体"/>
          <w:kern w:val="0"/>
          <w:szCs w:val="21"/>
          <w:lang w:val="en-US" w:eastAsia="zh-CN"/>
        </w:rPr>
        <w:t>随着国际竞争愈发激烈，知识产权的作用愈发明显，抢占知识产权先机，就能够赢得发展主动权。专利作为知识产权的重要组成部分，审查周期长，授权慢一直是专利申请面临的问题。目前我国发明专利平均授权周期为16.5个月，实用新型专利、外观设计专利平均授权周期6个月。但是经预审后的专利申请授权周期大幅压缩，目前我市经预审后的发明专利授权周期2个月左右、实用新型专利授权周期15天左右、外观设计专利平均授权周期7天左右。由此可见专利申请预审服务能够极大程度上解决我市创新主体成果得到专利权保护慢的问题，能够惠及更多创新主体，提升预审服务效率，推动我市知识产权事业高效发展。</w:t>
      </w:r>
    </w:p>
    <w:p w14:paraId="17E888FE">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（二）目的和意义</w:t>
      </w:r>
    </w:p>
    <w:p w14:paraId="0B43A9D8">
      <w:pPr>
        <w:widowControl/>
        <w:spacing w:line="360" w:lineRule="auto"/>
        <w:ind w:firstLine="420" w:firstLineChars="200"/>
        <w:jc w:val="left"/>
        <w:rPr>
          <w:rFonts w:hint="eastAsia" w:ascii="宋体" w:hAnsi="宋体" w:cs="宋体"/>
          <w:kern w:val="0"/>
          <w:szCs w:val="21"/>
          <w:lang w:val="en-US" w:eastAsia="zh-CN"/>
        </w:rPr>
      </w:pPr>
      <w:r>
        <w:rPr>
          <w:rFonts w:hint="eastAsia" w:ascii="宋体" w:hAnsi="宋体" w:cs="宋体"/>
          <w:kern w:val="0"/>
          <w:szCs w:val="21"/>
          <w:lang w:val="en-US" w:eastAsia="zh-CN"/>
        </w:rPr>
        <w:t>《知识产权强国建设纲要（2021-2025年）》中明确提出“健全统一领导、衔接顺畅、快速高效的协同保护格局”。专利申请预审是国家知识产权局布局在各知识产权保护中心的专利前置审查服务，是缩短专利授权周期、推动专利审查提质增效的重要举措和有效途径。因此专利预审服务在推动高质量专利快速高效审查过程中能够发挥重要作用。</w:t>
      </w:r>
    </w:p>
    <w:p w14:paraId="6C448B29">
      <w:pPr>
        <w:widowControl/>
        <w:spacing w:line="360" w:lineRule="auto"/>
        <w:ind w:firstLine="420" w:firstLineChars="200"/>
        <w:jc w:val="left"/>
        <w:rPr>
          <w:rFonts w:hint="default" w:ascii="宋体" w:hAnsi="宋体" w:cs="宋体"/>
          <w:kern w:val="0"/>
          <w:szCs w:val="21"/>
          <w:lang w:val="en-US" w:eastAsia="zh-CN"/>
        </w:rPr>
      </w:pPr>
      <w:r>
        <w:rPr>
          <w:rFonts w:hint="default" w:ascii="宋体" w:hAnsi="宋体" w:cs="宋体"/>
          <w:kern w:val="0"/>
          <w:szCs w:val="21"/>
          <w:lang w:val="en-US" w:eastAsia="zh-CN"/>
        </w:rPr>
        <w:t>为进一步规范</w:t>
      </w:r>
      <w:r>
        <w:rPr>
          <w:rFonts w:hint="eastAsia" w:ascii="宋体" w:hAnsi="宋体" w:cs="宋体"/>
          <w:kern w:val="0"/>
          <w:szCs w:val="21"/>
          <w:lang w:val="en-US" w:eastAsia="zh-CN"/>
        </w:rPr>
        <w:t>长春</w:t>
      </w:r>
      <w:r>
        <w:rPr>
          <w:rFonts w:hint="default" w:ascii="宋体" w:hAnsi="宋体" w:cs="宋体"/>
          <w:kern w:val="0"/>
          <w:szCs w:val="21"/>
          <w:lang w:val="en-US" w:eastAsia="zh-CN"/>
        </w:rPr>
        <w:t>市专利申请秩序，建立专利申请高质量发展长效机制，充分释放预审服务促进产业发展的机制效能，为知识产权强市建设提供有力支撑，</w:t>
      </w:r>
      <w:r>
        <w:rPr>
          <w:rFonts w:hint="eastAsia" w:ascii="宋体" w:hAnsi="宋体" w:cs="宋体"/>
          <w:kern w:val="0"/>
          <w:szCs w:val="21"/>
          <w:lang w:val="en-US" w:eastAsia="zh-CN"/>
        </w:rPr>
        <w:t>就亟需制定专利申请预审服务标准。         该</w:t>
      </w:r>
      <w:r>
        <w:rPr>
          <w:rFonts w:hint="default" w:ascii="宋体" w:hAnsi="宋体" w:cs="宋体"/>
          <w:kern w:val="0"/>
          <w:szCs w:val="21"/>
          <w:lang w:val="en-US" w:eastAsia="zh-CN"/>
        </w:rPr>
        <w:t>标准的发布实施，将强化专利预审工作在知识产权“快保护”中的引领和保障作用</w:t>
      </w:r>
      <w:r>
        <w:rPr>
          <w:rFonts w:hint="eastAsia" w:ascii="宋体" w:hAnsi="宋体" w:cs="宋体"/>
          <w:kern w:val="0"/>
          <w:szCs w:val="21"/>
          <w:lang w:val="en-US" w:eastAsia="zh-CN"/>
        </w:rPr>
        <w:t>。</w:t>
      </w:r>
      <w:r>
        <w:rPr>
          <w:rFonts w:hint="default" w:ascii="宋体" w:hAnsi="宋体" w:cs="宋体"/>
          <w:kern w:val="0"/>
          <w:szCs w:val="21"/>
          <w:lang w:val="en-US" w:eastAsia="zh-CN"/>
        </w:rPr>
        <w:t>切实发挥专利预审职能优势，严控专利预审周期、改进预审流程，扎实有序开展专利预审业务，量质并举稳步提升专利审查质量备案企业数、注册代理机构数量稳步增长，不断压缩预审周期，快速提升专利预审受理量，</w:t>
      </w:r>
      <w:r>
        <w:rPr>
          <w:rFonts w:hint="eastAsia" w:ascii="宋体" w:hAnsi="宋体" w:cs="宋体"/>
          <w:kern w:val="0"/>
          <w:szCs w:val="21"/>
          <w:lang w:val="en-US" w:eastAsia="zh-CN"/>
        </w:rPr>
        <w:t>从而引导行业的规范化发展，</w:t>
      </w:r>
      <w:r>
        <w:rPr>
          <w:rFonts w:hint="default" w:ascii="宋体" w:hAnsi="宋体" w:cs="宋体"/>
          <w:kern w:val="0"/>
          <w:szCs w:val="21"/>
          <w:lang w:val="en-US" w:eastAsia="zh-CN"/>
        </w:rPr>
        <w:t>为</w:t>
      </w:r>
      <w:r>
        <w:rPr>
          <w:rFonts w:hint="eastAsia" w:ascii="宋体" w:hAnsi="宋体" w:cs="宋体"/>
          <w:kern w:val="0"/>
          <w:szCs w:val="21"/>
          <w:lang w:val="en-US" w:eastAsia="zh-CN"/>
        </w:rPr>
        <w:t>长春市</w:t>
      </w:r>
      <w:r>
        <w:rPr>
          <w:rFonts w:hint="default" w:ascii="宋体" w:hAnsi="宋体" w:cs="宋体"/>
          <w:kern w:val="0"/>
          <w:szCs w:val="21"/>
          <w:lang w:val="en-US" w:eastAsia="zh-CN"/>
        </w:rPr>
        <w:t>专利预审申请提供科学可行的模板与经验。对提升</w:t>
      </w:r>
      <w:r>
        <w:rPr>
          <w:rFonts w:hint="eastAsia" w:ascii="宋体" w:hAnsi="宋体" w:cs="宋体"/>
          <w:kern w:val="0"/>
          <w:szCs w:val="21"/>
          <w:lang w:val="en-US" w:eastAsia="zh-CN"/>
        </w:rPr>
        <w:t>我市</w:t>
      </w:r>
      <w:r>
        <w:rPr>
          <w:rFonts w:hint="default" w:ascii="宋体" w:hAnsi="宋体" w:cs="宋体"/>
          <w:kern w:val="0"/>
          <w:szCs w:val="21"/>
          <w:lang w:val="en-US" w:eastAsia="zh-CN"/>
        </w:rPr>
        <w:t>知识产权公共服务水平、打击非正常专利申请行为、优化创新创业生态环境具有重要意义。</w:t>
      </w:r>
    </w:p>
    <w:p w14:paraId="1AC5D960">
      <w:pPr>
        <w:widowControl/>
        <w:numPr>
          <w:ilvl w:val="0"/>
          <w:numId w:val="0"/>
        </w:numPr>
        <w:spacing w:line="360" w:lineRule="auto"/>
        <w:ind w:firstLine="420" w:firstLineChars="200"/>
        <w:jc w:val="left"/>
        <w:rPr>
          <w:rFonts w:hint="eastAsia" w:ascii="黑体" w:hAnsi="宋体" w:eastAsia="黑体"/>
          <w:kern w:val="0"/>
          <w:szCs w:val="21"/>
          <w:lang w:eastAsia="zh-CN"/>
        </w:rPr>
      </w:pPr>
      <w:r>
        <w:rPr>
          <w:rFonts w:hint="eastAsia" w:ascii="黑体" w:hAnsi="宋体" w:eastAsia="黑体"/>
          <w:kern w:val="0"/>
          <w:szCs w:val="21"/>
          <w:lang w:eastAsia="zh-CN"/>
        </w:rPr>
        <w:t>三、主要起草过程</w:t>
      </w:r>
    </w:p>
    <w:p w14:paraId="20A23307">
      <w:pPr>
        <w:widowControl/>
        <w:spacing w:line="360" w:lineRule="auto"/>
        <w:ind w:firstLine="420" w:firstLineChars="200"/>
        <w:jc w:val="left"/>
        <w:rPr>
          <w:rFonts w:hint="eastAsia" w:ascii="宋体" w:hAnsi="宋体" w:cs="宋体"/>
          <w:kern w:val="0"/>
          <w:szCs w:val="21"/>
          <w:lang w:val="en-US" w:eastAsia="zh-CN"/>
        </w:rPr>
      </w:pPr>
      <w:r>
        <w:rPr>
          <w:rFonts w:hint="eastAsia" w:ascii="宋体" w:hAnsi="宋体" w:cs="宋体"/>
          <w:kern w:val="0"/>
          <w:szCs w:val="21"/>
          <w:lang w:val="en-US" w:eastAsia="zh-CN"/>
        </w:rPr>
        <w:t>(一)预研阶段</w:t>
      </w:r>
    </w:p>
    <w:p w14:paraId="29DC67AF">
      <w:pPr>
        <w:widowControl/>
        <w:spacing w:line="360" w:lineRule="auto"/>
        <w:ind w:firstLine="420" w:firstLineChars="200"/>
        <w:jc w:val="left"/>
        <w:rPr>
          <w:rFonts w:hint="eastAsia" w:ascii="宋体" w:hAnsi="宋体" w:cs="宋体"/>
          <w:kern w:val="0"/>
          <w:szCs w:val="21"/>
          <w:lang w:val="en-US" w:eastAsia="zh-CN"/>
        </w:rPr>
      </w:pPr>
      <w:r>
        <w:rPr>
          <w:rFonts w:hint="eastAsia" w:ascii="宋体" w:hAnsi="宋体" w:cs="宋体"/>
          <w:kern w:val="0"/>
          <w:szCs w:val="21"/>
          <w:lang w:val="en-US" w:eastAsia="zh-CN"/>
        </w:rPr>
        <w:t>标准起草小组从2024年年初开始收集、整理相关资料和文献，确定标准编写目标和依据，此外走访多个企事业单位、专利代理服务机构，对长春市专利申请预审工作情况开展了调研。此后，标准起草小组查阅并收集了相关法律法规、国家标准和地方标准等文献资料，通过收集、整理和分析国内外在该研究领域的相关技术资料，在国内相关法律法规、规章框架下形成了本标准的可行性报告。</w:t>
      </w:r>
    </w:p>
    <w:p w14:paraId="769FDD8B">
      <w:pPr>
        <w:widowControl/>
        <w:spacing w:line="360" w:lineRule="auto"/>
        <w:ind w:left="0" w:leftChars="0" w:firstLine="420" w:firstLineChars="200"/>
        <w:jc w:val="left"/>
        <w:rPr>
          <w:rFonts w:hint="eastAsia" w:ascii="宋体" w:hAnsi="宋体" w:cs="宋体"/>
          <w:kern w:val="0"/>
          <w:szCs w:val="21"/>
          <w:lang w:val="en-US" w:eastAsia="zh-CN"/>
        </w:rPr>
      </w:pPr>
      <w:r>
        <w:rPr>
          <w:rFonts w:hint="eastAsia" w:ascii="宋体" w:hAnsi="宋体" w:cs="宋体"/>
          <w:kern w:val="0"/>
          <w:szCs w:val="21"/>
          <w:lang w:val="en-US" w:eastAsia="zh-CN"/>
        </w:rPr>
        <w:t>（二）立项阶段</w:t>
      </w:r>
    </w:p>
    <w:p w14:paraId="01CAADA4">
      <w:pPr>
        <w:pStyle w:val="11"/>
        <w:spacing w:line="360" w:lineRule="auto"/>
        <w:ind w:firstLine="630" w:firstLineChars="300"/>
        <w:rPr>
          <w:rFonts w:ascii="宋体" w:hAnsi="宋体" w:eastAsia="宋体" w:cs="宋体"/>
          <w:kern w:val="0"/>
          <w:szCs w:val="21"/>
        </w:rPr>
      </w:pPr>
      <w:r>
        <w:rPr>
          <w:rFonts w:hint="eastAsia" w:ascii="宋体" w:hAnsi="宋体" w:eastAsia="宋体" w:cs="宋体"/>
          <w:kern w:val="0"/>
          <w:szCs w:val="21"/>
        </w:rPr>
        <w:t>2024年2月，长春市市场监督管理局印发了《关于印发2024年长春市地方标准立项指南的通知》，下达了长春市地方标准制修订任务</w:t>
      </w:r>
      <w:r>
        <w:rPr>
          <w:rFonts w:hint="eastAsia" w:ascii="宋体" w:hAnsi="宋体" w:eastAsia="宋体" w:cs="宋体"/>
          <w:color w:val="auto"/>
          <w:kern w:val="0"/>
          <w:szCs w:val="21"/>
        </w:rPr>
        <w:t>。</w:t>
      </w:r>
      <w:r>
        <w:rPr>
          <w:rFonts w:hint="eastAsia" w:ascii="宋体" w:hAnsi="宋体" w:eastAsia="宋体" w:cs="宋体"/>
          <w:color w:val="auto"/>
          <w:kern w:val="0"/>
          <w:szCs w:val="21"/>
          <w:lang w:val="en-US" w:eastAsia="zh-CN"/>
        </w:rPr>
        <w:t>长春市知识产权局</w:t>
      </w:r>
      <w:r>
        <w:rPr>
          <w:rFonts w:hint="eastAsia" w:ascii="宋体" w:hAnsi="宋体" w:eastAsia="宋体" w:cs="宋体"/>
          <w:color w:val="auto"/>
          <w:kern w:val="0"/>
          <w:szCs w:val="21"/>
        </w:rPr>
        <w:t>向长</w:t>
      </w:r>
      <w:r>
        <w:rPr>
          <w:rFonts w:hint="eastAsia" w:ascii="宋体" w:hAnsi="宋体" w:eastAsia="宋体" w:cs="宋体"/>
          <w:kern w:val="0"/>
          <w:szCs w:val="21"/>
        </w:rPr>
        <w:t>春市市场监督管理局提出申请，申报《专利申请预审规范》。</w:t>
      </w:r>
    </w:p>
    <w:p w14:paraId="29745256">
      <w:pPr>
        <w:pStyle w:val="11"/>
        <w:spacing w:line="360" w:lineRule="auto"/>
        <w:ind w:firstLine="630" w:firstLineChars="300"/>
        <w:rPr>
          <w:rFonts w:hint="eastAsia" w:ascii="宋体" w:hAnsi="宋体" w:cs="宋体"/>
          <w:kern w:val="0"/>
          <w:szCs w:val="21"/>
          <w:lang w:val="en-US" w:eastAsia="zh-CN"/>
        </w:rPr>
      </w:pPr>
      <w:r>
        <w:rPr>
          <w:rFonts w:ascii="宋体" w:hAnsi="宋体" w:eastAsia="宋体" w:cs="宋体"/>
          <w:kern w:val="0"/>
          <w:szCs w:val="21"/>
        </w:rPr>
        <w:t>2023</w:t>
      </w:r>
      <w:r>
        <w:rPr>
          <w:rFonts w:hint="eastAsia" w:ascii="宋体" w:hAnsi="宋体" w:eastAsia="宋体" w:cs="宋体"/>
          <w:kern w:val="0"/>
          <w:szCs w:val="21"/>
        </w:rPr>
        <w:t>年</w:t>
      </w:r>
      <w:r>
        <w:rPr>
          <w:rFonts w:hint="eastAsia" w:ascii="宋体" w:hAnsi="宋体" w:eastAsia="宋体" w:cs="宋体"/>
          <w:color w:val="auto"/>
          <w:kern w:val="0"/>
          <w:szCs w:val="21"/>
          <w:lang w:val="en-US" w:eastAsia="zh-CN"/>
        </w:rPr>
        <w:t>5</w:t>
      </w:r>
      <w:r>
        <w:rPr>
          <w:rFonts w:ascii="宋体" w:hAnsi="宋体" w:eastAsia="宋体" w:cs="宋体"/>
          <w:color w:val="auto"/>
          <w:kern w:val="0"/>
          <w:szCs w:val="21"/>
        </w:rPr>
        <w:t>月，</w:t>
      </w:r>
      <w:r>
        <w:rPr>
          <w:rFonts w:hint="eastAsia" w:ascii="宋体" w:hAnsi="宋体" w:eastAsia="宋体" w:cs="宋体"/>
          <w:color w:val="auto"/>
          <w:kern w:val="0"/>
          <w:szCs w:val="21"/>
        </w:rPr>
        <w:t>长</w:t>
      </w:r>
      <w:r>
        <w:rPr>
          <w:rFonts w:hint="eastAsia" w:ascii="宋体" w:hAnsi="宋体" w:eastAsia="宋体" w:cs="宋体"/>
          <w:kern w:val="0"/>
          <w:szCs w:val="21"/>
        </w:rPr>
        <w:t>春市市场监督管理局下发《关于下达20</w:t>
      </w:r>
      <w:r>
        <w:rPr>
          <w:rFonts w:ascii="宋体" w:hAnsi="宋体" w:eastAsia="宋体" w:cs="宋体"/>
          <w:kern w:val="0"/>
          <w:szCs w:val="21"/>
        </w:rPr>
        <w:t>2</w:t>
      </w:r>
      <w:r>
        <w:rPr>
          <w:rFonts w:hint="eastAsia" w:ascii="宋体" w:hAnsi="宋体" w:eastAsia="宋体" w:cs="宋体"/>
          <w:kern w:val="0"/>
          <w:szCs w:val="21"/>
          <w:lang w:val="en-US" w:eastAsia="zh-CN"/>
        </w:rPr>
        <w:t>4</w:t>
      </w:r>
      <w:r>
        <w:rPr>
          <w:rFonts w:hint="eastAsia" w:ascii="宋体" w:hAnsi="宋体" w:eastAsia="宋体" w:cs="宋体"/>
          <w:kern w:val="0"/>
          <w:szCs w:val="21"/>
        </w:rPr>
        <w:t>年度长春市地方标准制定项目立项计划的通知》。《专利申请预审规范》地方标准正式获得批准立项。</w:t>
      </w:r>
    </w:p>
    <w:p w14:paraId="42E2B2FA">
      <w:pPr>
        <w:widowControl/>
        <w:spacing w:line="360" w:lineRule="auto"/>
        <w:ind w:firstLine="420" w:firstLineChars="200"/>
        <w:jc w:val="left"/>
        <w:rPr>
          <w:rFonts w:hint="eastAsia" w:ascii="宋体" w:hAnsi="宋体" w:cs="宋体"/>
          <w:kern w:val="0"/>
          <w:szCs w:val="21"/>
          <w:lang w:val="en-US" w:eastAsia="zh-CN"/>
        </w:rPr>
      </w:pPr>
      <w:r>
        <w:rPr>
          <w:rFonts w:hint="eastAsia" w:ascii="宋体" w:hAnsi="宋体" w:cs="宋体"/>
          <w:kern w:val="0"/>
          <w:szCs w:val="21"/>
          <w:lang w:val="en-US" w:eastAsia="zh-CN"/>
        </w:rPr>
        <w:t>（三）起草阶段</w:t>
      </w:r>
    </w:p>
    <w:p w14:paraId="2828AABA">
      <w:pPr>
        <w:pStyle w:val="11"/>
        <w:spacing w:line="360" w:lineRule="auto"/>
        <w:jc w:val="left"/>
        <w:rPr>
          <w:rFonts w:hint="eastAsia" w:ascii="宋体" w:hAnsi="宋体" w:eastAsia="宋体" w:cs="宋体"/>
          <w:kern w:val="0"/>
          <w:szCs w:val="21"/>
        </w:rPr>
      </w:pPr>
      <w:r>
        <w:rPr>
          <w:rFonts w:hint="eastAsia" w:ascii="宋体" w:hAnsi="宋体" w:eastAsia="宋体" w:cs="宋体"/>
          <w:kern w:val="0"/>
          <w:szCs w:val="21"/>
        </w:rPr>
        <w:t>接到文件通知后，长春市知识产权保护中心和长春市标准研究院召开了关于起草《</w:t>
      </w:r>
      <w:r>
        <w:rPr>
          <w:rFonts w:hint="eastAsia" w:ascii="宋体" w:hAnsi="宋体" w:eastAsia="宋体" w:cs="宋体"/>
          <w:color w:val="auto"/>
          <w:kern w:val="0"/>
          <w:szCs w:val="21"/>
        </w:rPr>
        <w:t>专利申请预审规范</w:t>
      </w:r>
      <w:r>
        <w:rPr>
          <w:rFonts w:hint="eastAsia" w:ascii="宋体" w:hAnsi="宋体" w:eastAsia="宋体" w:cs="宋体"/>
          <w:kern w:val="0"/>
          <w:szCs w:val="21"/>
        </w:rPr>
        <w:t>》地方标准的任务落实会议。会上，确定了标准名称，成立了标准起草组（起草成员详见表1），明确了</w:t>
      </w:r>
      <w:r>
        <w:rPr>
          <w:rFonts w:hint="eastAsia" w:ascii="宋体" w:hAnsi="宋体" w:eastAsia="宋体" w:cs="宋体"/>
          <w:color w:val="auto"/>
          <w:kern w:val="0"/>
          <w:szCs w:val="21"/>
          <w:lang w:val="en-US" w:eastAsia="zh-CN"/>
        </w:rPr>
        <w:t>谷杰</w:t>
      </w:r>
      <w:r>
        <w:rPr>
          <w:rFonts w:hint="eastAsia" w:ascii="宋体" w:hAnsi="宋体" w:eastAsia="宋体" w:cs="宋体"/>
          <w:kern w:val="0"/>
          <w:szCs w:val="21"/>
        </w:rPr>
        <w:t>同志为项目负责人；向起草组成员分配了工作任务，标准起草工作正式启动。</w:t>
      </w:r>
    </w:p>
    <w:p w14:paraId="53F7840F">
      <w:pPr>
        <w:pStyle w:val="11"/>
        <w:spacing w:line="360" w:lineRule="auto"/>
        <w:jc w:val="left"/>
        <w:rPr>
          <w:rFonts w:hint="eastAsia" w:ascii="宋体" w:hAnsi="宋体" w:eastAsia="宋体" w:cs="宋体"/>
          <w:kern w:val="0"/>
          <w:szCs w:val="21"/>
        </w:rPr>
      </w:pPr>
      <w:r>
        <w:rPr>
          <w:rFonts w:hint="eastAsia" w:ascii="宋体" w:hAnsi="宋体" w:eastAsia="宋体" w:cs="宋体"/>
          <w:kern w:val="0"/>
          <w:szCs w:val="21"/>
        </w:rPr>
        <w:t>标准起草期间，起草组</w:t>
      </w:r>
      <w:r>
        <w:rPr>
          <w:rFonts w:hint="eastAsia" w:ascii="宋体" w:hAnsi="宋体" w:eastAsia="宋体" w:cs="宋体"/>
          <w:kern w:val="0"/>
          <w:szCs w:val="21"/>
          <w:lang w:val="en-US" w:eastAsia="zh-CN"/>
        </w:rPr>
        <w:t>结合</w:t>
      </w:r>
      <w:r>
        <w:rPr>
          <w:rFonts w:hint="eastAsia" w:ascii="宋体" w:hAnsi="宋体" w:eastAsia="宋体" w:cs="宋体"/>
          <w:kern w:val="0"/>
          <w:szCs w:val="21"/>
        </w:rPr>
        <w:t>前期调研成果</w:t>
      </w:r>
      <w:r>
        <w:rPr>
          <w:rFonts w:hint="eastAsia" w:ascii="宋体" w:hAnsi="宋体" w:eastAsia="宋体" w:cs="宋体"/>
          <w:kern w:val="0"/>
          <w:szCs w:val="21"/>
          <w:lang w:val="en-US" w:eastAsia="zh-CN"/>
        </w:rPr>
        <w:t>与</w:t>
      </w:r>
      <w:r>
        <w:rPr>
          <w:rFonts w:hint="eastAsia" w:ascii="宋体" w:hAnsi="宋体" w:eastAsia="宋体" w:cs="宋体"/>
          <w:kern w:val="0"/>
          <w:szCs w:val="21"/>
        </w:rPr>
        <w:t>查阅</w:t>
      </w:r>
      <w:r>
        <w:rPr>
          <w:rFonts w:hint="eastAsia" w:ascii="宋体" w:hAnsi="宋体" w:eastAsia="宋体" w:cs="宋体"/>
          <w:kern w:val="0"/>
          <w:szCs w:val="21"/>
          <w:lang w:val="en-US" w:eastAsia="zh-CN"/>
        </w:rPr>
        <w:t>到的</w:t>
      </w:r>
      <w:r>
        <w:rPr>
          <w:rFonts w:hint="eastAsia" w:ascii="宋体" w:hAnsi="宋体" w:eastAsia="宋体" w:cs="宋体"/>
          <w:kern w:val="0"/>
          <w:szCs w:val="21"/>
        </w:rPr>
        <w:t>相关国家法律法规、政策文件、国家标准、地方标准</w:t>
      </w:r>
      <w:r>
        <w:rPr>
          <w:rFonts w:hint="eastAsia" w:ascii="宋体" w:hAnsi="宋体" w:eastAsia="宋体" w:cs="宋体"/>
          <w:kern w:val="0"/>
          <w:szCs w:val="21"/>
          <w:lang w:val="en-US" w:eastAsia="zh-CN"/>
        </w:rPr>
        <w:t>等</w:t>
      </w:r>
      <w:r>
        <w:rPr>
          <w:rFonts w:hint="eastAsia" w:ascii="宋体" w:hAnsi="宋体" w:eastAsia="宋体" w:cs="宋体"/>
          <w:kern w:val="0"/>
          <w:szCs w:val="21"/>
        </w:rPr>
        <w:t>资料，按照GB/T 1.1-2020《标准化工作导则 第1部分：标准化文件的结构和起草规则》的要求起草了标准文本。</w:t>
      </w:r>
    </w:p>
    <w:p w14:paraId="33434A9D">
      <w:pPr>
        <w:pStyle w:val="11"/>
        <w:spacing w:line="360" w:lineRule="auto"/>
        <w:jc w:val="left"/>
        <w:rPr>
          <w:rFonts w:hint="eastAsia" w:ascii="宋体" w:hAnsi="宋体" w:eastAsia="宋体" w:cs="宋体"/>
          <w:kern w:val="0"/>
          <w:szCs w:val="21"/>
        </w:rPr>
      </w:pPr>
    </w:p>
    <w:p w14:paraId="587029FE">
      <w:pPr>
        <w:pStyle w:val="11"/>
        <w:spacing w:line="360" w:lineRule="auto"/>
        <w:jc w:val="left"/>
        <w:rPr>
          <w:rFonts w:hint="eastAsia" w:ascii="宋体" w:hAnsi="宋体" w:eastAsia="宋体" w:cs="宋体"/>
          <w:kern w:val="0"/>
          <w:szCs w:val="21"/>
        </w:rPr>
      </w:pPr>
    </w:p>
    <w:p w14:paraId="26C19B50">
      <w:pPr>
        <w:pStyle w:val="11"/>
        <w:spacing w:line="360" w:lineRule="auto"/>
        <w:jc w:val="left"/>
        <w:rPr>
          <w:rFonts w:hint="eastAsia" w:ascii="宋体" w:hAnsi="宋体" w:eastAsia="宋体" w:cs="宋体"/>
          <w:kern w:val="0"/>
          <w:szCs w:val="21"/>
        </w:rPr>
      </w:pPr>
    </w:p>
    <w:p w14:paraId="0BA7BF9E">
      <w:pPr>
        <w:spacing w:line="360" w:lineRule="auto"/>
        <w:jc w:val="center"/>
        <w:rPr>
          <w:rFonts w:ascii="宋体" w:hAnsi="宋体" w:eastAsia="宋体" w:cs="宋体"/>
          <w:color w:val="auto"/>
          <w:szCs w:val="21"/>
        </w:rPr>
      </w:pPr>
      <w:r>
        <w:rPr>
          <w:rFonts w:hint="eastAsia" w:ascii="宋体" w:hAnsi="宋体" w:eastAsia="宋体" w:cs="宋体"/>
          <w:szCs w:val="21"/>
        </w:rPr>
        <w:t xml:space="preserve">表1 </w:t>
      </w:r>
      <w:r>
        <w:rPr>
          <w:rFonts w:hint="eastAsia" w:ascii="宋体" w:hAnsi="宋体" w:eastAsia="宋体" w:cs="宋体"/>
          <w:color w:val="auto"/>
          <w:szCs w:val="21"/>
        </w:rPr>
        <w:t xml:space="preserve"> 标准起草组人员构成表</w:t>
      </w:r>
    </w:p>
    <w:tbl>
      <w:tblPr>
        <w:tblStyle w:val="7"/>
        <w:tblW w:w="89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900"/>
        <w:gridCol w:w="720"/>
        <w:gridCol w:w="1168"/>
        <w:gridCol w:w="2280"/>
        <w:gridCol w:w="1083"/>
        <w:gridCol w:w="2127"/>
      </w:tblGrid>
      <w:tr w14:paraId="2A172B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blHeader/>
        </w:trPr>
        <w:tc>
          <w:tcPr>
            <w:tcW w:w="648" w:type="dxa"/>
            <w:vAlign w:val="center"/>
          </w:tcPr>
          <w:p w14:paraId="2C8D94AD">
            <w:pPr>
              <w:keepNext w:val="0"/>
              <w:keepLines w:val="0"/>
              <w:suppressLineNumbers w:val="0"/>
              <w:spacing w:before="0" w:beforeAutospacing="0" w:after="0" w:afterAutospacing="0" w:line="360" w:lineRule="auto"/>
              <w:ind w:left="0" w:right="0"/>
              <w:jc w:val="center"/>
              <w:rPr>
                <w:rFonts w:hint="default" w:cs="Times New Roman" w:asciiTheme="minorEastAsia" w:hAnsiTheme="minorEastAsia"/>
                <w:sz w:val="18"/>
                <w:szCs w:val="18"/>
              </w:rPr>
            </w:pPr>
            <w:r>
              <w:rPr>
                <w:rFonts w:hint="eastAsia" w:cs="Times New Roman" w:asciiTheme="minorEastAsia" w:hAnsiTheme="minorEastAsia"/>
                <w:sz w:val="18"/>
                <w:szCs w:val="18"/>
              </w:rPr>
              <w:t>成员</w:t>
            </w:r>
          </w:p>
        </w:tc>
        <w:tc>
          <w:tcPr>
            <w:tcW w:w="900" w:type="dxa"/>
            <w:vAlign w:val="center"/>
          </w:tcPr>
          <w:p w14:paraId="27D02A4D">
            <w:pPr>
              <w:pStyle w:val="11"/>
              <w:keepNext w:val="0"/>
              <w:keepLines w:val="0"/>
              <w:suppressLineNumbers w:val="0"/>
              <w:spacing w:before="0" w:beforeAutospacing="0" w:after="0" w:afterAutospacing="0" w:line="240" w:lineRule="exact"/>
              <w:ind w:left="0" w:right="0" w:firstLine="0" w:firstLineChars="0"/>
              <w:jc w:val="center"/>
              <w:rPr>
                <w:rFonts w:hint="default" w:ascii="宋体" w:hAnsi="宋体" w:eastAsia="宋体" w:cs="宋体"/>
                <w:kern w:val="0"/>
                <w:sz w:val="18"/>
                <w:szCs w:val="18"/>
              </w:rPr>
            </w:pPr>
            <w:r>
              <w:rPr>
                <w:rFonts w:hint="default" w:ascii="宋体" w:hAnsi="宋体" w:eastAsia="宋体" w:cs="宋体"/>
                <w:kern w:val="0"/>
                <w:sz w:val="18"/>
                <w:szCs w:val="18"/>
              </w:rPr>
              <w:t>姓名</w:t>
            </w:r>
          </w:p>
        </w:tc>
        <w:tc>
          <w:tcPr>
            <w:tcW w:w="720" w:type="dxa"/>
            <w:vAlign w:val="center"/>
          </w:tcPr>
          <w:p w14:paraId="205CFAFD">
            <w:pPr>
              <w:pStyle w:val="11"/>
              <w:keepNext w:val="0"/>
              <w:keepLines w:val="0"/>
              <w:suppressLineNumbers w:val="0"/>
              <w:spacing w:before="0" w:beforeAutospacing="0" w:after="0" w:afterAutospacing="0" w:line="240" w:lineRule="exact"/>
              <w:ind w:left="0" w:right="0" w:firstLine="0" w:firstLineChars="0"/>
              <w:jc w:val="center"/>
              <w:rPr>
                <w:rFonts w:hint="default" w:ascii="宋体" w:hAnsi="宋体" w:eastAsia="宋体" w:cs="宋体"/>
                <w:kern w:val="0"/>
                <w:sz w:val="18"/>
                <w:szCs w:val="18"/>
              </w:rPr>
            </w:pPr>
            <w:r>
              <w:rPr>
                <w:rFonts w:hint="default" w:ascii="宋体" w:hAnsi="宋体" w:eastAsia="宋体" w:cs="宋体"/>
                <w:kern w:val="0"/>
                <w:sz w:val="18"/>
                <w:szCs w:val="18"/>
              </w:rPr>
              <w:t>性别</w:t>
            </w:r>
          </w:p>
        </w:tc>
        <w:tc>
          <w:tcPr>
            <w:tcW w:w="1168" w:type="dxa"/>
            <w:vAlign w:val="center"/>
          </w:tcPr>
          <w:p w14:paraId="6AAEEFD6">
            <w:pPr>
              <w:keepNext w:val="0"/>
              <w:keepLines w:val="0"/>
              <w:suppressLineNumbers w:val="0"/>
              <w:spacing w:before="0" w:beforeAutospacing="0" w:after="0" w:afterAutospacing="0" w:line="240" w:lineRule="exact"/>
              <w:ind w:left="0" w:right="0"/>
              <w:jc w:val="center"/>
              <w:rPr>
                <w:rFonts w:hint="default" w:ascii="宋体" w:hAnsi="宋体" w:eastAsia="宋体" w:cs="宋体"/>
                <w:kern w:val="0"/>
                <w:sz w:val="18"/>
                <w:szCs w:val="18"/>
              </w:rPr>
            </w:pPr>
            <w:r>
              <w:rPr>
                <w:rFonts w:hint="default" w:ascii="宋体" w:hAnsi="宋体" w:eastAsia="宋体" w:cs="宋体"/>
                <w:kern w:val="0"/>
                <w:sz w:val="18"/>
                <w:szCs w:val="18"/>
              </w:rPr>
              <w:t>专 业</w:t>
            </w:r>
          </w:p>
        </w:tc>
        <w:tc>
          <w:tcPr>
            <w:tcW w:w="2280" w:type="dxa"/>
            <w:vAlign w:val="center"/>
          </w:tcPr>
          <w:p w14:paraId="7CE61988">
            <w:pPr>
              <w:keepNext w:val="0"/>
              <w:keepLines w:val="0"/>
              <w:suppressLineNumbers w:val="0"/>
              <w:spacing w:before="0" w:beforeAutospacing="0" w:after="0" w:afterAutospacing="0" w:line="240" w:lineRule="exact"/>
              <w:ind w:left="0" w:right="0"/>
              <w:jc w:val="center"/>
              <w:rPr>
                <w:rFonts w:hint="default" w:ascii="宋体" w:hAnsi="宋体" w:eastAsia="宋体" w:cs="宋体"/>
                <w:kern w:val="0"/>
                <w:sz w:val="18"/>
                <w:szCs w:val="18"/>
              </w:rPr>
            </w:pPr>
            <w:r>
              <w:rPr>
                <w:rFonts w:hint="default" w:ascii="宋体" w:hAnsi="宋体" w:eastAsia="宋体" w:cs="宋体"/>
                <w:kern w:val="0"/>
                <w:sz w:val="18"/>
                <w:szCs w:val="18"/>
              </w:rPr>
              <w:t>所 在 单 位</w:t>
            </w:r>
          </w:p>
        </w:tc>
        <w:tc>
          <w:tcPr>
            <w:tcW w:w="1083" w:type="dxa"/>
            <w:vAlign w:val="center"/>
          </w:tcPr>
          <w:p w14:paraId="14B28CC4">
            <w:pPr>
              <w:pStyle w:val="11"/>
              <w:keepNext w:val="0"/>
              <w:keepLines w:val="0"/>
              <w:suppressLineNumbers w:val="0"/>
              <w:spacing w:before="0" w:beforeAutospacing="0" w:after="0" w:afterAutospacing="0" w:line="240" w:lineRule="exact"/>
              <w:ind w:left="0" w:right="0" w:firstLine="0" w:firstLineChars="0"/>
              <w:jc w:val="center"/>
              <w:rPr>
                <w:rFonts w:hint="default" w:ascii="宋体" w:hAnsi="宋体" w:eastAsia="宋体" w:cs="宋体"/>
                <w:kern w:val="0"/>
                <w:sz w:val="18"/>
                <w:szCs w:val="18"/>
              </w:rPr>
            </w:pPr>
            <w:r>
              <w:rPr>
                <w:rFonts w:hint="default" w:ascii="宋体" w:hAnsi="宋体" w:eastAsia="宋体" w:cs="宋体"/>
                <w:kern w:val="0"/>
                <w:sz w:val="18"/>
                <w:szCs w:val="18"/>
              </w:rPr>
              <w:t>职务/职称</w:t>
            </w:r>
          </w:p>
        </w:tc>
        <w:tc>
          <w:tcPr>
            <w:tcW w:w="2127" w:type="dxa"/>
            <w:vAlign w:val="center"/>
          </w:tcPr>
          <w:p w14:paraId="241BDEC8">
            <w:pPr>
              <w:keepNext w:val="0"/>
              <w:keepLines w:val="0"/>
              <w:suppressLineNumbers w:val="0"/>
              <w:spacing w:before="0" w:beforeAutospacing="0" w:after="0" w:afterAutospacing="0" w:line="240" w:lineRule="exact"/>
              <w:ind w:left="0" w:right="0"/>
              <w:jc w:val="center"/>
              <w:rPr>
                <w:rFonts w:hint="default" w:ascii="宋体" w:hAnsi="宋体" w:eastAsia="宋体" w:cs="宋体"/>
                <w:kern w:val="0"/>
                <w:sz w:val="18"/>
                <w:szCs w:val="18"/>
              </w:rPr>
            </w:pPr>
            <w:r>
              <w:rPr>
                <w:rFonts w:hint="default" w:ascii="宋体" w:hAnsi="宋体" w:eastAsia="宋体" w:cs="宋体"/>
                <w:kern w:val="0"/>
                <w:sz w:val="18"/>
                <w:szCs w:val="18"/>
              </w:rPr>
              <w:t>主要任务</w:t>
            </w:r>
          </w:p>
        </w:tc>
      </w:tr>
      <w:tr w14:paraId="1E9FB1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648" w:type="dxa"/>
            <w:vAlign w:val="center"/>
          </w:tcPr>
          <w:p w14:paraId="5D3D61F2">
            <w:pPr>
              <w:keepNext w:val="0"/>
              <w:keepLines w:val="0"/>
              <w:suppressLineNumbers w:val="0"/>
              <w:spacing w:before="0" w:beforeAutospacing="0" w:after="0" w:afterAutospacing="0" w:line="360" w:lineRule="auto"/>
              <w:ind w:left="0" w:right="0"/>
              <w:jc w:val="center"/>
              <w:rPr>
                <w:rFonts w:hint="default" w:cs="Times New Roman" w:asciiTheme="minorEastAsia" w:hAnsiTheme="minorEastAsia"/>
                <w:sz w:val="18"/>
                <w:szCs w:val="18"/>
              </w:rPr>
            </w:pPr>
            <w:r>
              <w:rPr>
                <w:rFonts w:hint="default" w:cs="Times New Roman" w:asciiTheme="minorEastAsia" w:hAnsiTheme="minorEastAsia"/>
                <w:sz w:val="18"/>
                <w:szCs w:val="18"/>
              </w:rPr>
              <w:t>组</w:t>
            </w:r>
            <w:r>
              <w:rPr>
                <w:rFonts w:hint="eastAsia" w:cs="Times New Roman" w:asciiTheme="minorEastAsia" w:hAnsiTheme="minorEastAsia"/>
                <w:sz w:val="18"/>
                <w:szCs w:val="18"/>
              </w:rPr>
              <w:t>长</w:t>
            </w:r>
          </w:p>
        </w:tc>
        <w:tc>
          <w:tcPr>
            <w:tcW w:w="900" w:type="dxa"/>
            <w:vAlign w:val="center"/>
          </w:tcPr>
          <w:p w14:paraId="1FEDE1C5">
            <w:pPr>
              <w:pStyle w:val="11"/>
              <w:keepNext w:val="0"/>
              <w:keepLines w:val="0"/>
              <w:suppressLineNumbers w:val="0"/>
              <w:spacing w:before="0" w:beforeAutospacing="0" w:after="0" w:afterAutospacing="0" w:line="240" w:lineRule="exact"/>
              <w:ind w:left="0" w:right="0" w:firstLine="0" w:firstLineChars="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谷杰</w:t>
            </w:r>
          </w:p>
        </w:tc>
        <w:tc>
          <w:tcPr>
            <w:tcW w:w="720" w:type="dxa"/>
            <w:vAlign w:val="center"/>
          </w:tcPr>
          <w:p w14:paraId="21E63104">
            <w:pPr>
              <w:keepNext w:val="0"/>
              <w:keepLines w:val="0"/>
              <w:suppressLineNumbers w:val="0"/>
              <w:spacing w:before="0" w:beforeAutospacing="0" w:after="0" w:afterAutospacing="0" w:line="240" w:lineRule="exact"/>
              <w:ind w:left="0" w:right="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女</w:t>
            </w:r>
          </w:p>
        </w:tc>
        <w:tc>
          <w:tcPr>
            <w:tcW w:w="1168" w:type="dxa"/>
            <w:vAlign w:val="center"/>
          </w:tcPr>
          <w:p w14:paraId="513CC899">
            <w:pPr>
              <w:keepNext w:val="0"/>
              <w:keepLines w:val="0"/>
              <w:suppressLineNumbers w:val="0"/>
              <w:spacing w:before="0" w:beforeAutospacing="0" w:after="0" w:afterAutospacing="0" w:line="240" w:lineRule="exact"/>
              <w:ind w:left="0" w:right="0"/>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生物化学与分子生物学</w:t>
            </w:r>
          </w:p>
        </w:tc>
        <w:tc>
          <w:tcPr>
            <w:tcW w:w="2280" w:type="dxa"/>
            <w:vAlign w:val="center"/>
          </w:tcPr>
          <w:p w14:paraId="3B16805C">
            <w:pPr>
              <w:keepNext w:val="0"/>
              <w:keepLines w:val="0"/>
              <w:suppressLineNumbers w:val="0"/>
              <w:spacing w:before="0" w:beforeAutospacing="0" w:after="0" w:afterAutospacing="0" w:line="240" w:lineRule="exact"/>
              <w:ind w:left="0" w:right="0"/>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长春市知识产权保护中心</w:t>
            </w:r>
          </w:p>
        </w:tc>
        <w:tc>
          <w:tcPr>
            <w:tcW w:w="1083" w:type="dxa"/>
            <w:vAlign w:val="center"/>
          </w:tcPr>
          <w:p w14:paraId="70C8BE7D">
            <w:pPr>
              <w:pStyle w:val="11"/>
              <w:keepNext w:val="0"/>
              <w:keepLines w:val="0"/>
              <w:suppressLineNumbers w:val="0"/>
              <w:spacing w:before="0" w:beforeAutospacing="0" w:after="0" w:afterAutospacing="0" w:line="240" w:lineRule="exact"/>
              <w:ind w:left="0" w:right="0" w:firstLine="0" w:firstLineChars="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主任</w:t>
            </w:r>
          </w:p>
        </w:tc>
        <w:tc>
          <w:tcPr>
            <w:tcW w:w="2127" w:type="dxa"/>
            <w:vAlign w:val="center"/>
          </w:tcPr>
          <w:p w14:paraId="00B283A1">
            <w:pPr>
              <w:pStyle w:val="11"/>
              <w:keepNext w:val="0"/>
              <w:keepLines w:val="0"/>
              <w:suppressLineNumbers w:val="0"/>
              <w:spacing w:before="0" w:beforeAutospacing="0" w:after="0" w:afterAutospacing="0" w:line="240" w:lineRule="exact"/>
              <w:ind w:left="0" w:right="0" w:firstLine="0" w:firstLineChars="0"/>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统筹项目整体工作</w:t>
            </w:r>
          </w:p>
        </w:tc>
      </w:tr>
      <w:tr w14:paraId="0A8440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648" w:type="dxa"/>
            <w:vMerge w:val="restart"/>
            <w:vAlign w:val="center"/>
          </w:tcPr>
          <w:p w14:paraId="087D5CA1">
            <w:pPr>
              <w:keepNext w:val="0"/>
              <w:keepLines w:val="0"/>
              <w:suppressLineNumbers w:val="0"/>
              <w:spacing w:before="0" w:beforeAutospacing="0" w:after="0" w:afterAutospacing="0" w:line="360" w:lineRule="auto"/>
              <w:ind w:left="0" w:right="0"/>
              <w:jc w:val="center"/>
              <w:rPr>
                <w:rFonts w:hint="default" w:cs="Times New Roman" w:asciiTheme="minorEastAsia" w:hAnsiTheme="minorEastAsia"/>
                <w:sz w:val="18"/>
                <w:szCs w:val="18"/>
              </w:rPr>
            </w:pPr>
            <w:r>
              <w:rPr>
                <w:rFonts w:hint="eastAsia" w:cs="Times New Roman" w:asciiTheme="minorEastAsia" w:hAnsiTheme="minorEastAsia"/>
                <w:sz w:val="18"/>
                <w:szCs w:val="18"/>
              </w:rPr>
              <w:t>组员</w:t>
            </w:r>
          </w:p>
        </w:tc>
        <w:tc>
          <w:tcPr>
            <w:tcW w:w="900" w:type="dxa"/>
            <w:vAlign w:val="center"/>
          </w:tcPr>
          <w:p w14:paraId="635E2821">
            <w:pPr>
              <w:keepNext w:val="0"/>
              <w:keepLines w:val="0"/>
              <w:suppressLineNumbers w:val="0"/>
              <w:spacing w:before="0" w:beforeAutospacing="0" w:after="0" w:afterAutospacing="0" w:line="240" w:lineRule="exact"/>
              <w:ind w:left="0" w:right="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王金玲</w:t>
            </w:r>
          </w:p>
        </w:tc>
        <w:tc>
          <w:tcPr>
            <w:tcW w:w="720" w:type="dxa"/>
            <w:vAlign w:val="center"/>
          </w:tcPr>
          <w:p w14:paraId="5F2A7337">
            <w:pPr>
              <w:keepNext w:val="0"/>
              <w:keepLines w:val="0"/>
              <w:suppressLineNumbers w:val="0"/>
              <w:spacing w:before="0" w:beforeAutospacing="0" w:after="0" w:afterAutospacing="0" w:line="240" w:lineRule="exact"/>
              <w:ind w:left="0" w:right="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女</w:t>
            </w:r>
          </w:p>
        </w:tc>
        <w:tc>
          <w:tcPr>
            <w:tcW w:w="1168" w:type="dxa"/>
            <w:vAlign w:val="center"/>
          </w:tcPr>
          <w:p w14:paraId="30022B3A">
            <w:pPr>
              <w:keepNext w:val="0"/>
              <w:keepLines w:val="0"/>
              <w:suppressLineNumbers w:val="0"/>
              <w:spacing w:before="0" w:beforeAutospacing="0" w:after="0" w:afterAutospacing="0" w:line="240" w:lineRule="exact"/>
              <w:ind w:left="0" w:right="0"/>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汉语言文学</w:t>
            </w:r>
          </w:p>
        </w:tc>
        <w:tc>
          <w:tcPr>
            <w:tcW w:w="2280" w:type="dxa"/>
            <w:vAlign w:val="center"/>
          </w:tcPr>
          <w:p w14:paraId="50CC338A">
            <w:pPr>
              <w:keepNext w:val="0"/>
              <w:keepLines w:val="0"/>
              <w:suppressLineNumbers w:val="0"/>
              <w:spacing w:before="0" w:beforeAutospacing="0" w:after="0" w:afterAutospacing="0" w:line="240" w:lineRule="exact"/>
              <w:ind w:left="0" w:right="0"/>
              <w:jc w:val="center"/>
              <w:rPr>
                <w:rFonts w:hint="default" w:ascii="宋体" w:hAnsi="宋体" w:eastAsia="宋体" w:cs="宋体"/>
                <w:kern w:val="0"/>
                <w:sz w:val="18"/>
                <w:szCs w:val="18"/>
              </w:rPr>
            </w:pPr>
            <w:r>
              <w:rPr>
                <w:rFonts w:hint="eastAsia" w:ascii="宋体" w:hAnsi="宋体" w:eastAsia="宋体" w:cs="宋体"/>
                <w:kern w:val="0"/>
                <w:sz w:val="18"/>
                <w:szCs w:val="18"/>
                <w:lang w:val="en-US" w:eastAsia="zh-CN"/>
              </w:rPr>
              <w:t>长春市知识产权保护中心</w:t>
            </w:r>
          </w:p>
        </w:tc>
        <w:tc>
          <w:tcPr>
            <w:tcW w:w="1083" w:type="dxa"/>
            <w:vAlign w:val="center"/>
          </w:tcPr>
          <w:p w14:paraId="7A4F30F3">
            <w:pPr>
              <w:keepNext w:val="0"/>
              <w:keepLines w:val="0"/>
              <w:suppressLineNumbers w:val="0"/>
              <w:spacing w:before="0" w:beforeAutospacing="0" w:after="0" w:afterAutospacing="0" w:line="240" w:lineRule="exact"/>
              <w:ind w:left="0" w:right="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副主任</w:t>
            </w:r>
          </w:p>
        </w:tc>
        <w:tc>
          <w:tcPr>
            <w:tcW w:w="2127" w:type="dxa"/>
            <w:vAlign w:val="center"/>
          </w:tcPr>
          <w:p w14:paraId="132F6D50">
            <w:pPr>
              <w:keepNext w:val="0"/>
              <w:keepLines w:val="0"/>
              <w:suppressLineNumbers w:val="0"/>
              <w:spacing w:before="0" w:beforeAutospacing="0" w:after="0" w:afterAutospacing="0" w:line="240" w:lineRule="exact"/>
              <w:ind w:left="0" w:right="0"/>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负责项目具体起草、审核</w:t>
            </w:r>
          </w:p>
        </w:tc>
      </w:tr>
      <w:tr w14:paraId="422723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648" w:type="dxa"/>
            <w:vMerge w:val="continue"/>
            <w:vAlign w:val="center"/>
          </w:tcPr>
          <w:p w14:paraId="70EF7067">
            <w:pPr>
              <w:keepNext w:val="0"/>
              <w:keepLines w:val="0"/>
              <w:suppressLineNumbers w:val="0"/>
              <w:spacing w:before="0" w:beforeAutospacing="0" w:after="0" w:afterAutospacing="0" w:line="360" w:lineRule="auto"/>
              <w:ind w:left="0" w:right="0"/>
              <w:jc w:val="center"/>
              <w:rPr>
                <w:rFonts w:hint="default" w:cs="Times New Roman" w:asciiTheme="minorEastAsia" w:hAnsiTheme="minorEastAsia"/>
                <w:sz w:val="18"/>
                <w:szCs w:val="18"/>
              </w:rPr>
            </w:pPr>
          </w:p>
        </w:tc>
        <w:tc>
          <w:tcPr>
            <w:tcW w:w="900" w:type="dxa"/>
            <w:vAlign w:val="center"/>
          </w:tcPr>
          <w:p w14:paraId="125358CF">
            <w:pPr>
              <w:pStyle w:val="11"/>
              <w:keepNext w:val="0"/>
              <w:keepLines w:val="0"/>
              <w:suppressLineNumbers w:val="0"/>
              <w:spacing w:before="0" w:beforeAutospacing="0" w:after="0" w:afterAutospacing="0" w:line="240" w:lineRule="exact"/>
              <w:ind w:left="0" w:leftChars="0" w:right="0" w:rightChars="0" w:firstLine="0" w:firstLineChars="0"/>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邓贺</w:t>
            </w:r>
          </w:p>
        </w:tc>
        <w:tc>
          <w:tcPr>
            <w:tcW w:w="720" w:type="dxa"/>
            <w:vAlign w:val="center"/>
          </w:tcPr>
          <w:p w14:paraId="78C7928B">
            <w:pPr>
              <w:keepNext w:val="0"/>
              <w:keepLines w:val="0"/>
              <w:suppressLineNumbers w:val="0"/>
              <w:spacing w:before="0" w:beforeAutospacing="0" w:after="0" w:afterAutospacing="0" w:line="240" w:lineRule="exact"/>
              <w:ind w:left="0" w:leftChars="0" w:right="0" w:rightChars="0"/>
              <w:jc w:val="center"/>
              <w:rPr>
                <w:rFonts w:hint="eastAsia"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女</w:t>
            </w:r>
          </w:p>
        </w:tc>
        <w:tc>
          <w:tcPr>
            <w:tcW w:w="1168" w:type="dxa"/>
            <w:vAlign w:val="center"/>
          </w:tcPr>
          <w:p w14:paraId="2A3FA202">
            <w:pPr>
              <w:keepNext w:val="0"/>
              <w:keepLines w:val="0"/>
              <w:suppressLineNumbers w:val="0"/>
              <w:spacing w:before="0" w:beforeAutospacing="0" w:after="0" w:afterAutospacing="0" w:line="240" w:lineRule="exact"/>
              <w:ind w:left="0" w:leftChars="0" w:right="0" w:rightChars="0"/>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计算机、标准化</w:t>
            </w:r>
          </w:p>
        </w:tc>
        <w:tc>
          <w:tcPr>
            <w:tcW w:w="2280" w:type="dxa"/>
            <w:vAlign w:val="center"/>
          </w:tcPr>
          <w:p w14:paraId="1DC1F8C5">
            <w:pPr>
              <w:pStyle w:val="11"/>
              <w:keepNext w:val="0"/>
              <w:keepLines w:val="0"/>
              <w:suppressLineNumbers w:val="0"/>
              <w:spacing w:before="0" w:beforeAutospacing="0" w:after="0" w:afterAutospacing="0" w:line="240" w:lineRule="exact"/>
              <w:ind w:left="0" w:leftChars="0" w:right="0" w:rightChars="0" w:firstLine="0" w:firstLineChars="0"/>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长春市标准研究院（长春市WTO/TBT咨询中心）</w:t>
            </w:r>
          </w:p>
        </w:tc>
        <w:tc>
          <w:tcPr>
            <w:tcW w:w="1083" w:type="dxa"/>
            <w:vAlign w:val="center"/>
          </w:tcPr>
          <w:p w14:paraId="78A0E569">
            <w:pPr>
              <w:keepNext w:val="0"/>
              <w:keepLines w:val="0"/>
              <w:suppressLineNumbers w:val="0"/>
              <w:spacing w:before="0" w:beforeAutospacing="0" w:after="0" w:afterAutospacing="0" w:line="240" w:lineRule="exact"/>
              <w:ind w:left="0" w:leftChars="0" w:right="0" w:rightChars="0"/>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lang w:val="en-US" w:eastAsia="zh-CN"/>
              </w:rPr>
              <w:t>专技8级</w:t>
            </w:r>
          </w:p>
        </w:tc>
        <w:tc>
          <w:tcPr>
            <w:tcW w:w="2127" w:type="dxa"/>
            <w:vAlign w:val="center"/>
          </w:tcPr>
          <w:p w14:paraId="57651464">
            <w:pPr>
              <w:pStyle w:val="11"/>
              <w:keepNext w:val="0"/>
              <w:keepLines w:val="0"/>
              <w:suppressLineNumbers w:val="0"/>
              <w:spacing w:before="0" w:beforeAutospacing="0" w:after="0" w:afterAutospacing="0" w:line="240" w:lineRule="exact"/>
              <w:ind w:left="0" w:leftChars="0" w:right="0" w:rightChars="0" w:firstLine="0" w:firstLineChars="0"/>
              <w:jc w:val="center"/>
              <w:rPr>
                <w:rFonts w:hint="default" w:ascii="宋体" w:hAnsi="宋体" w:eastAsia="宋体" w:cs="宋体"/>
                <w:kern w:val="0"/>
                <w:sz w:val="18"/>
                <w:szCs w:val="18"/>
                <w:lang w:val="en-US" w:eastAsia="zh-CN" w:bidi="ar-SA"/>
              </w:rPr>
            </w:pPr>
            <w:r>
              <w:rPr>
                <w:rFonts w:hint="eastAsia" w:ascii="宋体" w:hAnsi="宋体" w:eastAsia="宋体" w:cs="宋体"/>
                <w:kern w:val="0"/>
                <w:sz w:val="18"/>
                <w:szCs w:val="18"/>
              </w:rPr>
              <w:t>标准编写</w:t>
            </w:r>
          </w:p>
        </w:tc>
      </w:tr>
      <w:tr w14:paraId="0B2CF6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648" w:type="dxa"/>
            <w:vMerge w:val="continue"/>
            <w:vAlign w:val="center"/>
          </w:tcPr>
          <w:p w14:paraId="179A79D5">
            <w:pPr>
              <w:keepNext w:val="0"/>
              <w:keepLines w:val="0"/>
              <w:suppressLineNumbers w:val="0"/>
              <w:spacing w:before="0" w:beforeAutospacing="0" w:after="0" w:afterAutospacing="0" w:line="360" w:lineRule="auto"/>
              <w:ind w:left="0" w:right="0"/>
              <w:jc w:val="center"/>
              <w:rPr>
                <w:rFonts w:hint="default" w:cs="Times New Roman" w:asciiTheme="minorEastAsia" w:hAnsiTheme="minorEastAsia"/>
                <w:sz w:val="18"/>
                <w:szCs w:val="18"/>
              </w:rPr>
            </w:pPr>
          </w:p>
        </w:tc>
        <w:tc>
          <w:tcPr>
            <w:tcW w:w="900" w:type="dxa"/>
            <w:vAlign w:val="center"/>
          </w:tcPr>
          <w:p w14:paraId="723F0906">
            <w:pPr>
              <w:keepNext w:val="0"/>
              <w:keepLines w:val="0"/>
              <w:suppressLineNumbers w:val="0"/>
              <w:spacing w:before="0" w:beforeAutospacing="0" w:after="0" w:afterAutospacing="0" w:line="240" w:lineRule="exact"/>
              <w:ind w:left="0" w:leftChars="0" w:right="0" w:rightChars="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陈立夫</w:t>
            </w:r>
          </w:p>
        </w:tc>
        <w:tc>
          <w:tcPr>
            <w:tcW w:w="720" w:type="dxa"/>
            <w:vAlign w:val="center"/>
          </w:tcPr>
          <w:p w14:paraId="1C136B4C">
            <w:pPr>
              <w:keepNext w:val="0"/>
              <w:keepLines w:val="0"/>
              <w:suppressLineNumbers w:val="0"/>
              <w:spacing w:before="0" w:beforeAutospacing="0" w:after="0" w:afterAutospacing="0" w:line="240" w:lineRule="exact"/>
              <w:ind w:left="0" w:leftChars="0" w:right="0" w:rightChars="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男</w:t>
            </w:r>
          </w:p>
        </w:tc>
        <w:tc>
          <w:tcPr>
            <w:tcW w:w="1168" w:type="dxa"/>
            <w:vAlign w:val="center"/>
          </w:tcPr>
          <w:p w14:paraId="2A1E4444">
            <w:pPr>
              <w:keepNext w:val="0"/>
              <w:keepLines w:val="0"/>
              <w:suppressLineNumbers w:val="0"/>
              <w:spacing w:before="0" w:beforeAutospacing="0" w:after="0" w:afterAutospacing="0" w:line="240" w:lineRule="exact"/>
              <w:ind w:left="0" w:leftChars="0" w:right="0" w:rightChars="0"/>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电子科学与技术</w:t>
            </w:r>
          </w:p>
        </w:tc>
        <w:tc>
          <w:tcPr>
            <w:tcW w:w="2280" w:type="dxa"/>
            <w:vAlign w:val="center"/>
          </w:tcPr>
          <w:p w14:paraId="1616593D">
            <w:pPr>
              <w:keepNext w:val="0"/>
              <w:keepLines w:val="0"/>
              <w:suppressLineNumbers w:val="0"/>
              <w:spacing w:before="0" w:beforeAutospacing="0" w:after="0" w:afterAutospacing="0" w:line="240" w:lineRule="exact"/>
              <w:ind w:left="0" w:leftChars="0" w:right="0" w:rightChars="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长春市知识产权保护中心</w:t>
            </w:r>
          </w:p>
        </w:tc>
        <w:tc>
          <w:tcPr>
            <w:tcW w:w="1083" w:type="dxa"/>
            <w:vAlign w:val="center"/>
          </w:tcPr>
          <w:p w14:paraId="40FDE1EC">
            <w:pPr>
              <w:keepNext w:val="0"/>
              <w:keepLines w:val="0"/>
              <w:suppressLineNumbers w:val="0"/>
              <w:spacing w:before="0" w:beforeAutospacing="0" w:after="0" w:afterAutospacing="0" w:line="240" w:lineRule="exact"/>
              <w:ind w:left="0" w:leftChars="0" w:right="0" w:rightChars="0"/>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专技12级</w:t>
            </w:r>
          </w:p>
        </w:tc>
        <w:tc>
          <w:tcPr>
            <w:tcW w:w="2127" w:type="dxa"/>
            <w:vAlign w:val="center"/>
          </w:tcPr>
          <w:p w14:paraId="64DF8FDF">
            <w:pPr>
              <w:keepNext w:val="0"/>
              <w:keepLines w:val="0"/>
              <w:suppressLineNumbers w:val="0"/>
              <w:spacing w:before="0" w:beforeAutospacing="0" w:after="0" w:afterAutospacing="0" w:line="240" w:lineRule="exact"/>
              <w:ind w:left="0" w:leftChars="0" w:right="0" w:rightChars="0"/>
              <w:jc w:val="center"/>
              <w:rPr>
                <w:rFonts w:hint="default" w:ascii="宋体" w:hAnsi="宋体" w:eastAsia="宋体" w:cs="宋体"/>
                <w:kern w:val="0"/>
                <w:sz w:val="18"/>
                <w:szCs w:val="18"/>
              </w:rPr>
            </w:pPr>
            <w:r>
              <w:rPr>
                <w:rFonts w:hint="eastAsia" w:ascii="宋体" w:hAnsi="宋体" w:eastAsia="宋体" w:cs="宋体"/>
                <w:kern w:val="0"/>
                <w:sz w:val="18"/>
                <w:szCs w:val="18"/>
                <w:lang w:val="en-US" w:eastAsia="zh-CN"/>
              </w:rPr>
              <w:t>起草项目备案阶段各项标准</w:t>
            </w:r>
          </w:p>
        </w:tc>
      </w:tr>
      <w:tr w14:paraId="585B7D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648" w:type="dxa"/>
            <w:vMerge w:val="continue"/>
            <w:vAlign w:val="center"/>
          </w:tcPr>
          <w:p w14:paraId="659FA6E7">
            <w:pPr>
              <w:keepNext w:val="0"/>
              <w:keepLines w:val="0"/>
              <w:suppressLineNumbers w:val="0"/>
              <w:spacing w:before="0" w:beforeAutospacing="0" w:after="0" w:afterAutospacing="0" w:line="360" w:lineRule="auto"/>
              <w:ind w:left="0" w:right="0"/>
              <w:jc w:val="center"/>
              <w:rPr>
                <w:rFonts w:hint="default" w:cs="Times New Roman" w:asciiTheme="minorEastAsia" w:hAnsiTheme="minorEastAsia"/>
                <w:sz w:val="18"/>
                <w:szCs w:val="18"/>
              </w:rPr>
            </w:pPr>
          </w:p>
        </w:tc>
        <w:tc>
          <w:tcPr>
            <w:tcW w:w="900" w:type="dxa"/>
            <w:vAlign w:val="center"/>
          </w:tcPr>
          <w:p w14:paraId="6E9F3104">
            <w:pPr>
              <w:pStyle w:val="11"/>
              <w:keepNext w:val="0"/>
              <w:keepLines w:val="0"/>
              <w:suppressLineNumbers w:val="0"/>
              <w:spacing w:before="0" w:beforeAutospacing="0" w:after="0" w:afterAutospacing="0" w:line="240" w:lineRule="exact"/>
              <w:ind w:left="0" w:right="0" w:firstLine="0" w:firstLineChars="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万瑞</w:t>
            </w:r>
          </w:p>
        </w:tc>
        <w:tc>
          <w:tcPr>
            <w:tcW w:w="720" w:type="dxa"/>
            <w:vAlign w:val="center"/>
          </w:tcPr>
          <w:p w14:paraId="6087CBEB">
            <w:pPr>
              <w:keepNext w:val="0"/>
              <w:keepLines w:val="0"/>
              <w:suppressLineNumbers w:val="0"/>
              <w:spacing w:before="0" w:beforeAutospacing="0" w:after="0" w:afterAutospacing="0" w:line="240" w:lineRule="exact"/>
              <w:ind w:left="0" w:right="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女</w:t>
            </w:r>
          </w:p>
        </w:tc>
        <w:tc>
          <w:tcPr>
            <w:tcW w:w="1168" w:type="dxa"/>
            <w:vAlign w:val="center"/>
          </w:tcPr>
          <w:p w14:paraId="23309775">
            <w:pPr>
              <w:keepNext w:val="0"/>
              <w:keepLines w:val="0"/>
              <w:suppressLineNumbers w:val="0"/>
              <w:spacing w:before="0" w:beforeAutospacing="0" w:after="0" w:afterAutospacing="0" w:line="240" w:lineRule="exact"/>
              <w:ind w:left="0" w:right="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专业会计</w:t>
            </w:r>
          </w:p>
        </w:tc>
        <w:tc>
          <w:tcPr>
            <w:tcW w:w="2280" w:type="dxa"/>
            <w:vAlign w:val="center"/>
          </w:tcPr>
          <w:p w14:paraId="6A772A8E">
            <w:pPr>
              <w:pStyle w:val="11"/>
              <w:keepNext w:val="0"/>
              <w:keepLines w:val="0"/>
              <w:suppressLineNumbers w:val="0"/>
              <w:spacing w:before="0" w:beforeAutospacing="0" w:after="0" w:afterAutospacing="0" w:line="240" w:lineRule="exact"/>
              <w:ind w:left="0" w:right="0" w:firstLine="0" w:firstLineChars="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长春市知识产权保护中心</w:t>
            </w:r>
          </w:p>
        </w:tc>
        <w:tc>
          <w:tcPr>
            <w:tcW w:w="1083" w:type="dxa"/>
            <w:vAlign w:val="center"/>
          </w:tcPr>
          <w:p w14:paraId="24439010">
            <w:pPr>
              <w:keepNext w:val="0"/>
              <w:keepLines w:val="0"/>
              <w:suppressLineNumbers w:val="0"/>
              <w:spacing w:before="0" w:beforeAutospacing="0" w:after="0" w:afterAutospacing="0" w:line="240" w:lineRule="exact"/>
              <w:ind w:left="0" w:right="0"/>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专技10级</w:t>
            </w:r>
          </w:p>
        </w:tc>
        <w:tc>
          <w:tcPr>
            <w:tcW w:w="2127" w:type="dxa"/>
            <w:vAlign w:val="center"/>
          </w:tcPr>
          <w:p w14:paraId="1EA66528">
            <w:pPr>
              <w:pStyle w:val="11"/>
              <w:keepNext w:val="0"/>
              <w:keepLines w:val="0"/>
              <w:suppressLineNumbers w:val="0"/>
              <w:spacing w:before="0" w:beforeAutospacing="0" w:after="0" w:afterAutospacing="0" w:line="240" w:lineRule="exact"/>
              <w:ind w:left="0" w:right="0" w:firstLine="0" w:firstLineChars="0"/>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起草案件受理阶段各项标准</w:t>
            </w:r>
          </w:p>
        </w:tc>
      </w:tr>
      <w:tr w14:paraId="1EB9BD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648" w:type="dxa"/>
            <w:vMerge w:val="continue"/>
            <w:vAlign w:val="center"/>
          </w:tcPr>
          <w:p w14:paraId="695C8117">
            <w:pPr>
              <w:keepNext w:val="0"/>
              <w:keepLines w:val="0"/>
              <w:suppressLineNumbers w:val="0"/>
              <w:spacing w:before="0" w:beforeAutospacing="0" w:after="0" w:afterAutospacing="0" w:line="360" w:lineRule="auto"/>
              <w:ind w:left="0" w:right="0"/>
              <w:jc w:val="center"/>
              <w:rPr>
                <w:rFonts w:hint="default" w:cs="Times New Roman" w:asciiTheme="minorEastAsia" w:hAnsiTheme="minorEastAsia"/>
                <w:sz w:val="18"/>
                <w:szCs w:val="18"/>
              </w:rPr>
            </w:pPr>
          </w:p>
        </w:tc>
        <w:tc>
          <w:tcPr>
            <w:tcW w:w="900" w:type="dxa"/>
            <w:vAlign w:val="center"/>
          </w:tcPr>
          <w:p w14:paraId="3FDA09B2">
            <w:pPr>
              <w:keepNext w:val="0"/>
              <w:keepLines w:val="0"/>
              <w:suppressLineNumbers w:val="0"/>
              <w:spacing w:before="0" w:beforeAutospacing="0" w:after="0" w:afterAutospacing="0" w:line="240" w:lineRule="exact"/>
              <w:ind w:left="0" w:right="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于海瑶</w:t>
            </w:r>
          </w:p>
        </w:tc>
        <w:tc>
          <w:tcPr>
            <w:tcW w:w="720" w:type="dxa"/>
            <w:vAlign w:val="center"/>
          </w:tcPr>
          <w:p w14:paraId="51D49533">
            <w:pPr>
              <w:keepNext w:val="0"/>
              <w:keepLines w:val="0"/>
              <w:suppressLineNumbers w:val="0"/>
              <w:spacing w:before="0" w:beforeAutospacing="0" w:after="0" w:afterAutospacing="0" w:line="240" w:lineRule="exact"/>
              <w:ind w:left="0" w:right="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女</w:t>
            </w:r>
          </w:p>
        </w:tc>
        <w:tc>
          <w:tcPr>
            <w:tcW w:w="1168" w:type="dxa"/>
            <w:vAlign w:val="center"/>
          </w:tcPr>
          <w:p w14:paraId="6CDB4459">
            <w:pPr>
              <w:keepNext w:val="0"/>
              <w:keepLines w:val="0"/>
              <w:suppressLineNumbers w:val="0"/>
              <w:spacing w:before="0" w:beforeAutospacing="0" w:after="0" w:afterAutospacing="0" w:line="240" w:lineRule="exact"/>
              <w:ind w:left="0" w:right="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药理学</w:t>
            </w:r>
          </w:p>
        </w:tc>
        <w:tc>
          <w:tcPr>
            <w:tcW w:w="2280" w:type="dxa"/>
            <w:vAlign w:val="center"/>
          </w:tcPr>
          <w:p w14:paraId="6A7CE503">
            <w:pPr>
              <w:pStyle w:val="11"/>
              <w:keepNext w:val="0"/>
              <w:keepLines w:val="0"/>
              <w:suppressLineNumbers w:val="0"/>
              <w:spacing w:before="0" w:beforeAutospacing="0" w:after="0" w:afterAutospacing="0" w:line="240" w:lineRule="exact"/>
              <w:ind w:left="0" w:right="0" w:firstLine="0" w:firstLineChars="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长春市知识产权保护中心</w:t>
            </w:r>
          </w:p>
        </w:tc>
        <w:tc>
          <w:tcPr>
            <w:tcW w:w="1083" w:type="dxa"/>
            <w:vAlign w:val="center"/>
          </w:tcPr>
          <w:p w14:paraId="1B9D4018">
            <w:pPr>
              <w:keepNext w:val="0"/>
              <w:keepLines w:val="0"/>
              <w:suppressLineNumbers w:val="0"/>
              <w:spacing w:before="0" w:beforeAutospacing="0" w:after="0" w:afterAutospacing="0" w:line="240" w:lineRule="exact"/>
              <w:ind w:left="0" w:right="0"/>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专技9级</w:t>
            </w:r>
          </w:p>
        </w:tc>
        <w:tc>
          <w:tcPr>
            <w:tcW w:w="2127" w:type="dxa"/>
            <w:vAlign w:val="center"/>
          </w:tcPr>
          <w:p w14:paraId="1757674F">
            <w:pPr>
              <w:keepNext w:val="0"/>
              <w:keepLines w:val="0"/>
              <w:suppressLineNumbers w:val="0"/>
              <w:spacing w:before="0" w:beforeAutospacing="0" w:after="0" w:afterAutospacing="0" w:line="240" w:lineRule="exact"/>
              <w:ind w:left="0" w:right="0"/>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起草案件自检项目文件，通知书文件</w:t>
            </w:r>
          </w:p>
        </w:tc>
      </w:tr>
      <w:tr w14:paraId="6979E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trPr>
        <w:tc>
          <w:tcPr>
            <w:tcW w:w="648" w:type="dxa"/>
            <w:vMerge w:val="continue"/>
            <w:vAlign w:val="center"/>
          </w:tcPr>
          <w:p w14:paraId="0DE958D8">
            <w:pPr>
              <w:keepNext w:val="0"/>
              <w:keepLines w:val="0"/>
              <w:suppressLineNumbers w:val="0"/>
              <w:spacing w:before="0" w:beforeAutospacing="0" w:after="0" w:afterAutospacing="0" w:line="360" w:lineRule="auto"/>
              <w:ind w:left="0" w:right="0"/>
              <w:jc w:val="center"/>
              <w:rPr>
                <w:rFonts w:hint="default" w:cs="Times New Roman" w:asciiTheme="minorEastAsia" w:hAnsiTheme="minorEastAsia"/>
                <w:sz w:val="18"/>
                <w:szCs w:val="18"/>
              </w:rPr>
            </w:pPr>
          </w:p>
        </w:tc>
        <w:tc>
          <w:tcPr>
            <w:tcW w:w="900" w:type="dxa"/>
            <w:vAlign w:val="center"/>
          </w:tcPr>
          <w:p w14:paraId="05FC0E4C">
            <w:pPr>
              <w:keepNext w:val="0"/>
              <w:keepLines w:val="0"/>
              <w:suppressLineNumbers w:val="0"/>
              <w:spacing w:before="0" w:beforeAutospacing="0" w:after="0" w:afterAutospacing="0" w:line="240" w:lineRule="exact"/>
              <w:ind w:left="0" w:right="0"/>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任宗悦</w:t>
            </w:r>
          </w:p>
        </w:tc>
        <w:tc>
          <w:tcPr>
            <w:tcW w:w="720" w:type="dxa"/>
            <w:vAlign w:val="center"/>
          </w:tcPr>
          <w:p w14:paraId="71F5FDD1">
            <w:pPr>
              <w:keepNext w:val="0"/>
              <w:keepLines w:val="0"/>
              <w:suppressLineNumbers w:val="0"/>
              <w:spacing w:before="0" w:beforeAutospacing="0" w:after="0" w:afterAutospacing="0" w:line="240" w:lineRule="exact"/>
              <w:ind w:left="0" w:right="0"/>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女</w:t>
            </w:r>
          </w:p>
        </w:tc>
        <w:tc>
          <w:tcPr>
            <w:tcW w:w="1168" w:type="dxa"/>
            <w:vAlign w:val="center"/>
          </w:tcPr>
          <w:p w14:paraId="500E4F82">
            <w:pPr>
              <w:keepNext w:val="0"/>
              <w:keepLines w:val="0"/>
              <w:suppressLineNumbers w:val="0"/>
              <w:spacing w:before="0" w:beforeAutospacing="0" w:after="0" w:afterAutospacing="0" w:line="240" w:lineRule="exact"/>
              <w:ind w:left="0" w:right="0"/>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地图学与地理信息系统</w:t>
            </w:r>
          </w:p>
        </w:tc>
        <w:tc>
          <w:tcPr>
            <w:tcW w:w="2280" w:type="dxa"/>
            <w:vAlign w:val="center"/>
          </w:tcPr>
          <w:p w14:paraId="7164520B">
            <w:pPr>
              <w:pStyle w:val="11"/>
              <w:keepNext w:val="0"/>
              <w:keepLines w:val="0"/>
              <w:suppressLineNumbers w:val="0"/>
              <w:spacing w:before="0" w:beforeAutospacing="0" w:after="0" w:afterAutospacing="0" w:line="240" w:lineRule="exact"/>
              <w:ind w:left="0" w:right="0" w:firstLine="0" w:firstLineChars="0"/>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长春市标准研究院（长春市WTO/TBT咨询中心）</w:t>
            </w:r>
          </w:p>
        </w:tc>
        <w:tc>
          <w:tcPr>
            <w:tcW w:w="1083" w:type="dxa"/>
            <w:vAlign w:val="center"/>
          </w:tcPr>
          <w:p w14:paraId="0FAC0FCA">
            <w:pPr>
              <w:keepNext w:val="0"/>
              <w:keepLines w:val="0"/>
              <w:suppressLineNumbers w:val="0"/>
              <w:spacing w:before="0" w:beforeAutospacing="0" w:after="0" w:afterAutospacing="0" w:line="240" w:lineRule="exact"/>
              <w:ind w:left="0" w:right="0"/>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eastAsia="zh-CN"/>
              </w:rPr>
              <w:t>专技12级</w:t>
            </w:r>
          </w:p>
        </w:tc>
        <w:tc>
          <w:tcPr>
            <w:tcW w:w="2127" w:type="dxa"/>
            <w:vAlign w:val="center"/>
          </w:tcPr>
          <w:p w14:paraId="6D240CA6">
            <w:pPr>
              <w:keepNext w:val="0"/>
              <w:keepLines w:val="0"/>
              <w:suppressLineNumbers w:val="0"/>
              <w:spacing w:before="0" w:beforeAutospacing="0" w:after="0" w:afterAutospacing="0" w:line="240" w:lineRule="exact"/>
              <w:ind w:left="0" w:right="0"/>
              <w:jc w:val="center"/>
              <w:rPr>
                <w:rFonts w:hint="default" w:ascii="宋体" w:hAnsi="宋体" w:eastAsia="宋体" w:cs="宋体"/>
                <w:kern w:val="0"/>
                <w:sz w:val="18"/>
                <w:szCs w:val="18"/>
              </w:rPr>
            </w:pPr>
            <w:r>
              <w:rPr>
                <w:rFonts w:hint="eastAsia" w:ascii="宋体" w:hAnsi="宋体" w:eastAsia="宋体" w:cs="宋体"/>
                <w:kern w:val="0"/>
                <w:sz w:val="18"/>
                <w:szCs w:val="18"/>
              </w:rPr>
              <w:t>标准查新</w:t>
            </w:r>
            <w:r>
              <w:rPr>
                <w:rFonts w:hint="eastAsia" w:ascii="宋体" w:hAnsi="宋体" w:eastAsia="宋体" w:cs="宋体"/>
                <w:kern w:val="0"/>
                <w:sz w:val="18"/>
                <w:szCs w:val="18"/>
                <w:lang w:eastAsia="zh-CN"/>
              </w:rPr>
              <w:t>、</w:t>
            </w:r>
            <w:r>
              <w:rPr>
                <w:rFonts w:hint="eastAsia" w:ascii="宋体" w:hAnsi="宋体" w:eastAsia="宋体" w:cs="宋体"/>
                <w:kern w:val="0"/>
                <w:sz w:val="18"/>
                <w:szCs w:val="18"/>
              </w:rPr>
              <w:t>材料整理</w:t>
            </w:r>
          </w:p>
        </w:tc>
      </w:tr>
      <w:tr w14:paraId="6E7295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trPr>
        <w:tc>
          <w:tcPr>
            <w:tcW w:w="648" w:type="dxa"/>
            <w:vMerge w:val="continue"/>
            <w:vAlign w:val="center"/>
          </w:tcPr>
          <w:p w14:paraId="51C751C9">
            <w:pPr>
              <w:keepNext w:val="0"/>
              <w:keepLines w:val="0"/>
              <w:suppressLineNumbers w:val="0"/>
              <w:spacing w:before="0" w:beforeAutospacing="0" w:after="0" w:afterAutospacing="0" w:line="360" w:lineRule="auto"/>
              <w:ind w:left="0" w:right="0"/>
              <w:jc w:val="center"/>
              <w:rPr>
                <w:rFonts w:hint="default" w:cs="Times New Roman" w:asciiTheme="minorEastAsia" w:hAnsiTheme="minorEastAsia"/>
                <w:sz w:val="18"/>
                <w:szCs w:val="18"/>
              </w:rPr>
            </w:pPr>
          </w:p>
        </w:tc>
        <w:tc>
          <w:tcPr>
            <w:tcW w:w="900" w:type="dxa"/>
            <w:vAlign w:val="center"/>
          </w:tcPr>
          <w:p w14:paraId="43740213">
            <w:pPr>
              <w:pStyle w:val="11"/>
              <w:keepNext w:val="0"/>
              <w:keepLines w:val="0"/>
              <w:suppressLineNumbers w:val="0"/>
              <w:spacing w:before="0" w:beforeAutospacing="0" w:after="0" w:afterAutospacing="0" w:line="240" w:lineRule="exact"/>
              <w:ind w:left="0" w:leftChars="0" w:right="0" w:rightChars="0" w:firstLine="0" w:firstLineChars="0"/>
              <w:jc w:val="center"/>
              <w:rPr>
                <w:rFonts w:hint="default" w:ascii="宋体" w:hAnsi="宋体" w:eastAsia="宋体" w:cs="宋体"/>
                <w:kern w:val="0"/>
                <w:sz w:val="18"/>
                <w:szCs w:val="18"/>
                <w:lang w:val="en-US" w:eastAsia="zh-CN" w:bidi="ar-SA"/>
              </w:rPr>
            </w:pPr>
          </w:p>
        </w:tc>
        <w:tc>
          <w:tcPr>
            <w:tcW w:w="720" w:type="dxa"/>
            <w:vAlign w:val="center"/>
          </w:tcPr>
          <w:p w14:paraId="25A91132">
            <w:pPr>
              <w:keepNext w:val="0"/>
              <w:keepLines w:val="0"/>
              <w:suppressLineNumbers w:val="0"/>
              <w:spacing w:before="0" w:beforeAutospacing="0" w:after="0" w:afterAutospacing="0" w:line="240" w:lineRule="exact"/>
              <w:ind w:left="0" w:leftChars="0" w:right="0" w:rightChars="0"/>
              <w:jc w:val="center"/>
              <w:rPr>
                <w:rFonts w:hint="default" w:ascii="宋体" w:hAnsi="宋体" w:eastAsia="宋体" w:cs="宋体"/>
                <w:kern w:val="0"/>
                <w:sz w:val="18"/>
                <w:szCs w:val="18"/>
                <w:lang w:val="en-US" w:eastAsia="zh-CN" w:bidi="ar-SA"/>
              </w:rPr>
            </w:pPr>
          </w:p>
        </w:tc>
        <w:tc>
          <w:tcPr>
            <w:tcW w:w="1168" w:type="dxa"/>
            <w:vAlign w:val="center"/>
          </w:tcPr>
          <w:p w14:paraId="5AF51423">
            <w:pPr>
              <w:keepNext w:val="0"/>
              <w:keepLines w:val="0"/>
              <w:suppressLineNumbers w:val="0"/>
              <w:spacing w:before="0" w:beforeAutospacing="0" w:after="0" w:afterAutospacing="0" w:line="240" w:lineRule="exact"/>
              <w:ind w:left="0" w:leftChars="0" w:right="0" w:rightChars="0"/>
              <w:jc w:val="center"/>
              <w:rPr>
                <w:rFonts w:hint="default" w:ascii="宋体" w:hAnsi="宋体" w:eastAsia="宋体" w:cs="宋体"/>
                <w:kern w:val="0"/>
                <w:sz w:val="18"/>
                <w:szCs w:val="18"/>
                <w:lang w:val="en-US" w:eastAsia="zh-CN" w:bidi="ar-SA"/>
              </w:rPr>
            </w:pPr>
          </w:p>
        </w:tc>
        <w:tc>
          <w:tcPr>
            <w:tcW w:w="2280" w:type="dxa"/>
            <w:vAlign w:val="center"/>
          </w:tcPr>
          <w:p w14:paraId="7AA0CD30">
            <w:pPr>
              <w:pStyle w:val="11"/>
              <w:keepNext w:val="0"/>
              <w:keepLines w:val="0"/>
              <w:suppressLineNumbers w:val="0"/>
              <w:spacing w:before="0" w:beforeAutospacing="0" w:after="0" w:afterAutospacing="0" w:line="240" w:lineRule="exact"/>
              <w:ind w:left="0" w:leftChars="0" w:right="0" w:rightChars="0" w:firstLine="0" w:firstLineChars="0"/>
              <w:jc w:val="center"/>
              <w:rPr>
                <w:rFonts w:hint="default" w:ascii="宋体" w:hAnsi="宋体" w:eastAsia="宋体" w:cs="宋体"/>
                <w:kern w:val="0"/>
                <w:sz w:val="18"/>
                <w:szCs w:val="18"/>
                <w:lang w:val="en-US" w:eastAsia="zh-CN" w:bidi="ar-SA"/>
              </w:rPr>
            </w:pPr>
          </w:p>
        </w:tc>
        <w:tc>
          <w:tcPr>
            <w:tcW w:w="1083" w:type="dxa"/>
            <w:vAlign w:val="center"/>
          </w:tcPr>
          <w:p w14:paraId="6EF9B39E">
            <w:pPr>
              <w:keepNext w:val="0"/>
              <w:keepLines w:val="0"/>
              <w:suppressLineNumbers w:val="0"/>
              <w:spacing w:before="0" w:beforeAutospacing="0" w:after="0" w:afterAutospacing="0" w:line="240" w:lineRule="exact"/>
              <w:ind w:left="0" w:leftChars="0" w:right="0" w:rightChars="0"/>
              <w:jc w:val="center"/>
              <w:rPr>
                <w:rFonts w:hint="default" w:ascii="宋体" w:hAnsi="宋体" w:eastAsia="宋体" w:cs="宋体"/>
                <w:kern w:val="0"/>
                <w:sz w:val="18"/>
                <w:szCs w:val="18"/>
                <w:lang w:val="en-US" w:eastAsia="zh-CN" w:bidi="ar-SA"/>
              </w:rPr>
            </w:pPr>
          </w:p>
        </w:tc>
        <w:tc>
          <w:tcPr>
            <w:tcW w:w="2127" w:type="dxa"/>
            <w:vAlign w:val="center"/>
          </w:tcPr>
          <w:p w14:paraId="3E011287">
            <w:pPr>
              <w:pStyle w:val="11"/>
              <w:keepNext w:val="0"/>
              <w:keepLines w:val="0"/>
              <w:suppressLineNumbers w:val="0"/>
              <w:spacing w:before="0" w:beforeAutospacing="0" w:after="0" w:afterAutospacing="0" w:line="240" w:lineRule="exact"/>
              <w:ind w:left="0" w:leftChars="0" w:right="0" w:rightChars="0" w:firstLine="0" w:firstLineChars="0"/>
              <w:jc w:val="center"/>
              <w:rPr>
                <w:rFonts w:hint="default" w:ascii="宋体" w:hAnsi="宋体" w:eastAsia="宋体" w:cs="宋体"/>
                <w:kern w:val="0"/>
                <w:sz w:val="18"/>
                <w:szCs w:val="18"/>
                <w:lang w:val="en-US" w:eastAsia="zh-CN" w:bidi="ar-SA"/>
              </w:rPr>
            </w:pPr>
          </w:p>
        </w:tc>
      </w:tr>
    </w:tbl>
    <w:p w14:paraId="6C7A3EE2">
      <w:pPr>
        <w:widowControl/>
        <w:numPr>
          <w:ilvl w:val="0"/>
          <w:numId w:val="1"/>
        </w:numPr>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征求意见阶段</w:t>
      </w:r>
    </w:p>
    <w:p w14:paraId="5B5DFFBF">
      <w:pPr>
        <w:widowControl/>
        <w:spacing w:line="360" w:lineRule="auto"/>
        <w:ind w:firstLine="420" w:firstLineChars="200"/>
        <w:rPr>
          <w:rFonts w:ascii="宋体" w:hAnsi="宋体" w:eastAsia="宋体"/>
          <w:kern w:val="0"/>
          <w:szCs w:val="21"/>
        </w:rPr>
      </w:pPr>
      <w:r>
        <w:rPr>
          <w:rFonts w:hint="eastAsia" w:ascii="宋体" w:hAnsi="宋体" w:eastAsia="宋体"/>
          <w:kern w:val="0"/>
          <w:szCs w:val="21"/>
        </w:rPr>
        <w:t>1</w:t>
      </w:r>
      <w:r>
        <w:rPr>
          <w:rFonts w:hint="eastAsia" w:ascii="宋体" w:hAnsi="宋体" w:eastAsia="宋体"/>
          <w:kern w:val="0"/>
          <w:szCs w:val="21"/>
          <w:lang w:eastAsia="zh-CN"/>
        </w:rPr>
        <w:t>.</w:t>
      </w:r>
      <w:r>
        <w:rPr>
          <w:rFonts w:hint="eastAsia" w:ascii="宋体" w:hAnsi="宋体" w:eastAsia="宋体"/>
          <w:kern w:val="0"/>
          <w:szCs w:val="21"/>
        </w:rPr>
        <w:t>网上公示征求意见</w:t>
      </w:r>
    </w:p>
    <w:p w14:paraId="0AC9976B">
      <w:pPr>
        <w:spacing w:line="360" w:lineRule="auto"/>
        <w:ind w:firstLine="420" w:firstLineChars="200"/>
        <w:rPr>
          <w:rFonts w:ascii="宋体" w:hAnsi="宋体" w:eastAsia="宋体"/>
          <w:kern w:val="0"/>
          <w:szCs w:val="21"/>
        </w:rPr>
      </w:pPr>
      <w:r>
        <w:rPr>
          <w:rFonts w:hint="eastAsia" w:ascii="宋体" w:hAnsi="宋体" w:eastAsia="宋体"/>
          <w:kern w:val="0"/>
          <w:szCs w:val="21"/>
        </w:rPr>
        <w:t>根据《地方标准管理办法》有关要求，202</w:t>
      </w:r>
      <w:r>
        <w:rPr>
          <w:rFonts w:hint="eastAsia" w:ascii="宋体" w:hAnsi="宋体" w:eastAsia="宋体"/>
          <w:kern w:val="0"/>
          <w:szCs w:val="21"/>
          <w:lang w:val="en-US" w:eastAsia="zh-CN"/>
        </w:rPr>
        <w:t>4</w:t>
      </w:r>
      <w:r>
        <w:rPr>
          <w:rFonts w:hint="eastAsia" w:ascii="宋体" w:hAnsi="宋体" w:eastAsia="宋体"/>
          <w:kern w:val="0"/>
          <w:szCs w:val="21"/>
        </w:rPr>
        <w:t>年</w:t>
      </w:r>
      <w:r>
        <w:rPr>
          <w:rFonts w:hint="eastAsia" w:ascii="宋体" w:hAnsi="宋体" w:eastAsia="宋体"/>
          <w:kern w:val="0"/>
          <w:szCs w:val="21"/>
          <w:lang w:val="en-US" w:eastAsia="zh-CN"/>
        </w:rPr>
        <w:t>XX</w:t>
      </w:r>
      <w:r>
        <w:rPr>
          <w:rFonts w:hint="eastAsia" w:ascii="宋体" w:hAnsi="宋体" w:eastAsia="宋体"/>
          <w:kern w:val="0"/>
          <w:szCs w:val="21"/>
        </w:rPr>
        <w:t>月</w:t>
      </w:r>
      <w:r>
        <w:rPr>
          <w:rFonts w:hint="eastAsia" w:ascii="宋体" w:hAnsi="宋体" w:eastAsia="宋体"/>
          <w:kern w:val="0"/>
          <w:szCs w:val="21"/>
          <w:lang w:val="en-US" w:eastAsia="zh-CN"/>
        </w:rPr>
        <w:t>XX</w:t>
      </w:r>
      <w:r>
        <w:rPr>
          <w:rFonts w:hint="eastAsia" w:ascii="宋体" w:hAnsi="宋体" w:eastAsia="宋体"/>
          <w:kern w:val="0"/>
          <w:szCs w:val="21"/>
        </w:rPr>
        <w:t>日至202</w:t>
      </w:r>
      <w:r>
        <w:rPr>
          <w:rFonts w:hint="eastAsia" w:ascii="宋体" w:hAnsi="宋体" w:eastAsia="宋体"/>
          <w:kern w:val="0"/>
          <w:szCs w:val="21"/>
          <w:lang w:val="en-US" w:eastAsia="zh-CN"/>
        </w:rPr>
        <w:t>4</w:t>
      </w:r>
      <w:r>
        <w:rPr>
          <w:rFonts w:hint="eastAsia" w:ascii="宋体" w:hAnsi="宋体" w:eastAsia="宋体"/>
          <w:kern w:val="0"/>
          <w:szCs w:val="21"/>
        </w:rPr>
        <w:t>年</w:t>
      </w:r>
      <w:r>
        <w:rPr>
          <w:rFonts w:hint="eastAsia" w:ascii="宋体" w:hAnsi="宋体" w:eastAsia="宋体"/>
          <w:kern w:val="0"/>
          <w:szCs w:val="21"/>
          <w:lang w:val="en-US" w:eastAsia="zh-CN"/>
        </w:rPr>
        <w:t>XX</w:t>
      </w:r>
      <w:r>
        <w:rPr>
          <w:rFonts w:hint="eastAsia" w:ascii="宋体" w:hAnsi="宋体" w:eastAsia="宋体"/>
          <w:kern w:val="0"/>
          <w:szCs w:val="21"/>
        </w:rPr>
        <w:t>月</w:t>
      </w:r>
      <w:r>
        <w:rPr>
          <w:rFonts w:hint="eastAsia" w:ascii="宋体" w:hAnsi="宋体" w:eastAsia="宋体"/>
          <w:kern w:val="0"/>
          <w:szCs w:val="21"/>
          <w:lang w:val="en-US" w:eastAsia="zh-CN"/>
        </w:rPr>
        <w:t>XX</w:t>
      </w:r>
      <w:r>
        <w:rPr>
          <w:rFonts w:hint="eastAsia" w:ascii="宋体" w:hAnsi="宋体" w:eastAsia="宋体"/>
          <w:kern w:val="0"/>
          <w:szCs w:val="21"/>
        </w:rPr>
        <w:t>日，本标准通过长春市市场监督管理局网站向社会各界公开征求意见，公示期间无相关反馈意见。</w:t>
      </w:r>
    </w:p>
    <w:p w14:paraId="783E13AB">
      <w:pPr>
        <w:widowControl/>
        <w:spacing w:line="360" w:lineRule="auto"/>
        <w:ind w:firstLine="420" w:firstLineChars="200"/>
        <w:rPr>
          <w:rFonts w:ascii="宋体" w:hAnsi="宋体" w:eastAsia="宋体"/>
          <w:kern w:val="0"/>
          <w:szCs w:val="21"/>
        </w:rPr>
      </w:pPr>
      <w:r>
        <w:rPr>
          <w:rFonts w:hint="eastAsia" w:ascii="宋体" w:hAnsi="宋体" w:eastAsia="宋体"/>
          <w:kern w:val="0"/>
          <w:szCs w:val="21"/>
        </w:rPr>
        <w:t>2</w:t>
      </w:r>
      <w:r>
        <w:rPr>
          <w:rFonts w:hint="eastAsia" w:ascii="宋体" w:hAnsi="宋体" w:eastAsia="宋体"/>
          <w:kern w:val="0"/>
          <w:szCs w:val="21"/>
          <w:lang w:eastAsia="zh-CN"/>
        </w:rPr>
        <w:t>.</w:t>
      </w:r>
      <w:r>
        <w:rPr>
          <w:rFonts w:hint="eastAsia" w:ascii="宋体" w:hAnsi="宋体" w:eastAsia="宋体"/>
          <w:kern w:val="0"/>
          <w:szCs w:val="21"/>
        </w:rPr>
        <w:t>线下征求意见</w:t>
      </w:r>
    </w:p>
    <w:p w14:paraId="26486620">
      <w:pPr>
        <w:spacing w:line="360" w:lineRule="auto"/>
        <w:ind w:firstLine="420" w:firstLineChars="200"/>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通过向相关专家和单位发放征求意见函的方式，共发放征求意见函Ｘ份。征求意见函在规定时间内</w:t>
      </w:r>
      <w:r>
        <w:rPr>
          <w:rFonts w:hint="eastAsia" w:ascii="宋体" w:hAnsi="宋体" w:eastAsia="宋体"/>
          <w:color w:val="000000" w:themeColor="text1"/>
          <w:kern w:val="0"/>
          <w:szCs w:val="21"/>
          <w:lang w:val="en-US" w:eastAsia="zh-CN"/>
          <w14:textFill>
            <w14:solidFill>
              <w14:schemeClr w14:val="tx1"/>
            </w14:solidFill>
          </w14:textFill>
        </w:rPr>
        <w:t>已</w:t>
      </w:r>
      <w:r>
        <w:rPr>
          <w:rFonts w:hint="eastAsia" w:ascii="宋体" w:hAnsi="宋体" w:eastAsia="宋体"/>
          <w:color w:val="000000" w:themeColor="text1"/>
          <w:kern w:val="0"/>
          <w:szCs w:val="21"/>
          <w14:textFill>
            <w14:solidFill>
              <w14:schemeClr w14:val="tx1"/>
            </w14:solidFill>
          </w14:textFill>
        </w:rPr>
        <w:t>全部反馈，共收到反馈意见Ｘ条</w:t>
      </w:r>
      <w:r>
        <w:rPr>
          <w:rFonts w:hint="eastAsia" w:ascii="宋体" w:hAnsi="宋体" w:eastAsia="宋体"/>
          <w:color w:val="000000" w:themeColor="text1"/>
          <w:kern w:val="0"/>
          <w:szCs w:val="21"/>
          <w:lang w:eastAsia="zh-CN"/>
          <w14:textFill>
            <w14:solidFill>
              <w14:schemeClr w14:val="tx1"/>
            </w14:solidFill>
          </w14:textFill>
        </w:rPr>
        <w:t>：</w:t>
      </w:r>
      <w:r>
        <w:rPr>
          <w:rFonts w:hint="eastAsia" w:ascii="宋体" w:hAnsi="宋体" w:eastAsia="宋体"/>
          <w:color w:val="000000" w:themeColor="text1"/>
          <w:kern w:val="0"/>
          <w:szCs w:val="21"/>
          <w14:textFill>
            <w14:solidFill>
              <w14:schemeClr w14:val="tx1"/>
            </w14:solidFill>
          </w14:textFill>
        </w:rPr>
        <w:t>其中采纳</w:t>
      </w:r>
      <w:r>
        <w:rPr>
          <w:rFonts w:hint="eastAsia" w:ascii="宋体" w:hAnsi="宋体" w:eastAsia="宋体"/>
          <w:color w:val="000000" w:themeColor="text1"/>
          <w:kern w:val="0"/>
          <w:szCs w:val="21"/>
          <w:lang w:val="en-US" w:eastAsia="zh-CN"/>
          <w14:textFill>
            <w14:solidFill>
              <w14:schemeClr w14:val="tx1"/>
            </w14:solidFill>
          </w14:textFill>
        </w:rPr>
        <w:t>X</w:t>
      </w:r>
      <w:r>
        <w:rPr>
          <w:rFonts w:hint="eastAsia" w:ascii="宋体" w:hAnsi="宋体" w:eastAsia="宋体"/>
          <w:color w:val="000000" w:themeColor="text1"/>
          <w:kern w:val="0"/>
          <w:szCs w:val="21"/>
          <w14:textFill>
            <w14:solidFill>
              <w14:schemeClr w14:val="tx1"/>
            </w14:solidFill>
          </w14:textFill>
        </w:rPr>
        <w:t>条，未采纳</w:t>
      </w:r>
      <w:r>
        <w:rPr>
          <w:rFonts w:hint="eastAsia" w:ascii="宋体" w:hAnsi="宋体" w:eastAsia="宋体"/>
          <w:color w:val="000000" w:themeColor="text1"/>
          <w:kern w:val="0"/>
          <w:szCs w:val="21"/>
          <w:lang w:val="en-US" w:eastAsia="zh-CN"/>
          <w14:textFill>
            <w14:solidFill>
              <w14:schemeClr w14:val="tx1"/>
            </w14:solidFill>
          </w14:textFill>
        </w:rPr>
        <w:t>X</w:t>
      </w:r>
      <w:r>
        <w:rPr>
          <w:rFonts w:hint="eastAsia" w:ascii="宋体" w:hAnsi="宋体" w:eastAsia="宋体"/>
          <w:color w:val="000000" w:themeColor="text1"/>
          <w:kern w:val="0"/>
          <w:szCs w:val="21"/>
          <w14:textFill>
            <w14:solidFill>
              <w14:schemeClr w14:val="tx1"/>
            </w14:solidFill>
          </w14:textFill>
        </w:rPr>
        <w:t>条，具体见表2。未采纳意见已与提出专家进行沟通，已达成协调一致。</w:t>
      </w:r>
    </w:p>
    <w:p w14:paraId="0CC57E3E">
      <w:pPr>
        <w:spacing w:line="360" w:lineRule="auto"/>
        <w:jc w:val="center"/>
        <w:rPr>
          <w:kern w:val="0"/>
          <w:szCs w:val="21"/>
        </w:rPr>
      </w:pPr>
      <w:r>
        <w:rPr>
          <w:rFonts w:hint="eastAsia" w:ascii="宋体" w:hAnsi="宋体" w:eastAsia="宋体"/>
          <w:kern w:val="0"/>
          <w:szCs w:val="21"/>
        </w:rPr>
        <w:t>表2 《专利申请预审规范》征求意见</w:t>
      </w:r>
      <w:r>
        <w:rPr>
          <w:rFonts w:hint="eastAsia" w:ascii="宋体" w:hAnsi="宋体" w:eastAsia="宋体"/>
          <w:kern w:val="0"/>
          <w:szCs w:val="21"/>
          <w:lang w:val="en-US" w:eastAsia="zh-CN"/>
        </w:rPr>
        <w:t>未采纳情况</w:t>
      </w:r>
      <w:r>
        <w:rPr>
          <w:rFonts w:hint="eastAsia" w:ascii="宋体" w:hAnsi="宋体" w:eastAsia="宋体"/>
          <w:kern w:val="0"/>
          <w:szCs w:val="21"/>
        </w:rPr>
        <w:t>汇总表</w:t>
      </w:r>
    </w:p>
    <w:tbl>
      <w:tblPr>
        <w:tblStyle w:val="8"/>
        <w:tblW w:w="101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6"/>
        <w:gridCol w:w="910"/>
        <w:gridCol w:w="2985"/>
        <w:gridCol w:w="1904"/>
        <w:gridCol w:w="2420"/>
        <w:gridCol w:w="1176"/>
      </w:tblGrid>
      <w:tr w14:paraId="63CA81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6" w:type="dxa"/>
            <w:vAlign w:val="center"/>
          </w:tcPr>
          <w:p w14:paraId="5C0AA1D8">
            <w:pPr>
              <w:keepNext w:val="0"/>
              <w:keepLines w:val="0"/>
              <w:suppressLineNumbers w:val="0"/>
              <w:autoSpaceDE w:val="0"/>
              <w:autoSpaceDN w:val="0"/>
              <w:adjustRightInd w:val="0"/>
              <w:spacing w:before="0" w:beforeAutospacing="0" w:after="0" w:afterAutospacing="0"/>
              <w:ind w:left="0" w:right="0"/>
              <w:jc w:val="center"/>
              <w:rPr>
                <w:rFonts w:hint="default" w:ascii="宋体" w:hAnsi="宋体" w:eastAsia="宋体"/>
                <w:kern w:val="0"/>
                <w:szCs w:val="21"/>
              </w:rPr>
            </w:pPr>
            <w:r>
              <w:rPr>
                <w:rFonts w:hint="eastAsia" w:ascii="宋体" w:hAnsi="宋体" w:eastAsia="宋体"/>
                <w:kern w:val="0"/>
                <w:szCs w:val="21"/>
              </w:rPr>
              <w:t>序号</w:t>
            </w:r>
          </w:p>
        </w:tc>
        <w:tc>
          <w:tcPr>
            <w:tcW w:w="910" w:type="dxa"/>
            <w:vAlign w:val="center"/>
          </w:tcPr>
          <w:p w14:paraId="01B1AF17">
            <w:pPr>
              <w:keepNext w:val="0"/>
              <w:keepLines w:val="0"/>
              <w:suppressLineNumbers w:val="0"/>
              <w:autoSpaceDE w:val="0"/>
              <w:autoSpaceDN w:val="0"/>
              <w:adjustRightInd w:val="0"/>
              <w:spacing w:before="0" w:beforeAutospacing="0" w:after="0" w:afterAutospacing="0"/>
              <w:ind w:left="0" w:right="0"/>
              <w:jc w:val="center"/>
              <w:rPr>
                <w:rFonts w:hint="default" w:ascii="宋体" w:hAnsi="宋体" w:eastAsia="宋体"/>
                <w:kern w:val="0"/>
                <w:szCs w:val="21"/>
              </w:rPr>
            </w:pPr>
            <w:r>
              <w:rPr>
                <w:rFonts w:hint="eastAsia" w:ascii="宋体" w:hAnsi="宋体" w:eastAsia="宋体"/>
                <w:kern w:val="0"/>
                <w:szCs w:val="21"/>
              </w:rPr>
              <w:t>标准</w:t>
            </w:r>
          </w:p>
          <w:p w14:paraId="7AC71E2C">
            <w:pPr>
              <w:keepNext w:val="0"/>
              <w:keepLines w:val="0"/>
              <w:suppressLineNumbers w:val="0"/>
              <w:autoSpaceDE w:val="0"/>
              <w:autoSpaceDN w:val="0"/>
              <w:adjustRightInd w:val="0"/>
              <w:spacing w:before="0" w:beforeAutospacing="0" w:after="0" w:afterAutospacing="0"/>
              <w:ind w:left="0" w:right="0"/>
              <w:jc w:val="center"/>
              <w:rPr>
                <w:rFonts w:hint="default" w:ascii="宋体" w:hAnsi="宋体" w:eastAsia="宋体"/>
                <w:kern w:val="0"/>
                <w:szCs w:val="21"/>
              </w:rPr>
            </w:pPr>
            <w:r>
              <w:rPr>
                <w:rFonts w:hint="eastAsia" w:ascii="宋体" w:hAnsi="宋体" w:eastAsia="宋体"/>
                <w:kern w:val="0"/>
                <w:szCs w:val="21"/>
              </w:rPr>
              <w:t>条文号</w:t>
            </w:r>
          </w:p>
        </w:tc>
        <w:tc>
          <w:tcPr>
            <w:tcW w:w="2985" w:type="dxa"/>
            <w:vAlign w:val="center"/>
          </w:tcPr>
          <w:p w14:paraId="305294D0">
            <w:pPr>
              <w:keepNext w:val="0"/>
              <w:keepLines w:val="0"/>
              <w:suppressLineNumbers w:val="0"/>
              <w:autoSpaceDE w:val="0"/>
              <w:autoSpaceDN w:val="0"/>
              <w:adjustRightInd w:val="0"/>
              <w:spacing w:before="0" w:beforeAutospacing="0" w:after="0" w:afterAutospacing="0"/>
              <w:ind w:left="0" w:right="0"/>
              <w:jc w:val="center"/>
              <w:rPr>
                <w:rFonts w:hint="default" w:ascii="宋体" w:hAnsi="宋体" w:eastAsia="宋体"/>
                <w:kern w:val="0"/>
                <w:szCs w:val="21"/>
              </w:rPr>
            </w:pPr>
            <w:r>
              <w:rPr>
                <w:rFonts w:hint="eastAsia" w:ascii="宋体" w:hAnsi="宋体" w:eastAsia="宋体"/>
                <w:kern w:val="0"/>
                <w:szCs w:val="21"/>
              </w:rPr>
              <w:t>意见内容</w:t>
            </w:r>
          </w:p>
        </w:tc>
        <w:tc>
          <w:tcPr>
            <w:tcW w:w="1904" w:type="dxa"/>
            <w:vAlign w:val="center"/>
          </w:tcPr>
          <w:p w14:paraId="2C5DE804">
            <w:pPr>
              <w:keepNext w:val="0"/>
              <w:keepLines w:val="0"/>
              <w:suppressLineNumbers w:val="0"/>
              <w:autoSpaceDE w:val="0"/>
              <w:autoSpaceDN w:val="0"/>
              <w:adjustRightInd w:val="0"/>
              <w:spacing w:before="0" w:beforeAutospacing="0" w:after="0" w:afterAutospacing="0"/>
              <w:ind w:left="0" w:right="0"/>
              <w:jc w:val="center"/>
              <w:rPr>
                <w:rFonts w:hint="default" w:ascii="宋体" w:hAnsi="宋体" w:eastAsia="宋体"/>
                <w:kern w:val="0"/>
                <w:szCs w:val="21"/>
              </w:rPr>
            </w:pPr>
            <w:r>
              <w:rPr>
                <w:rFonts w:hint="eastAsia" w:ascii="宋体" w:hAnsi="宋体" w:eastAsia="宋体"/>
                <w:kern w:val="0"/>
                <w:szCs w:val="21"/>
              </w:rPr>
              <w:t>提出单位（专家）</w:t>
            </w:r>
          </w:p>
        </w:tc>
        <w:tc>
          <w:tcPr>
            <w:tcW w:w="2420" w:type="dxa"/>
            <w:vAlign w:val="center"/>
          </w:tcPr>
          <w:p w14:paraId="3B95F423">
            <w:pPr>
              <w:keepNext w:val="0"/>
              <w:keepLines w:val="0"/>
              <w:suppressLineNumbers w:val="0"/>
              <w:autoSpaceDE w:val="0"/>
              <w:autoSpaceDN w:val="0"/>
              <w:adjustRightInd w:val="0"/>
              <w:spacing w:before="0" w:beforeAutospacing="0" w:after="0" w:afterAutospacing="0"/>
              <w:ind w:left="0" w:right="0"/>
              <w:jc w:val="center"/>
              <w:rPr>
                <w:rFonts w:hint="default" w:ascii="宋体" w:hAnsi="宋体" w:eastAsia="宋体"/>
                <w:kern w:val="0"/>
                <w:szCs w:val="21"/>
                <w:lang w:val="en-US" w:eastAsia="zh-CN"/>
              </w:rPr>
            </w:pPr>
            <w:r>
              <w:rPr>
                <w:rFonts w:hint="eastAsia" w:ascii="宋体" w:hAnsi="宋体" w:eastAsia="宋体"/>
                <w:kern w:val="0"/>
                <w:szCs w:val="21"/>
                <w:lang w:val="en-US" w:eastAsia="zh-CN"/>
              </w:rPr>
              <w:t>未采纳原因</w:t>
            </w:r>
          </w:p>
        </w:tc>
        <w:tc>
          <w:tcPr>
            <w:tcW w:w="1176" w:type="dxa"/>
            <w:vAlign w:val="center"/>
          </w:tcPr>
          <w:p w14:paraId="1EA74922">
            <w:pPr>
              <w:keepNext w:val="0"/>
              <w:keepLines w:val="0"/>
              <w:suppressLineNumbers w:val="0"/>
              <w:autoSpaceDE w:val="0"/>
              <w:autoSpaceDN w:val="0"/>
              <w:adjustRightInd w:val="0"/>
              <w:spacing w:before="0" w:beforeAutospacing="0" w:after="0" w:afterAutospacing="0"/>
              <w:ind w:left="0" w:right="0"/>
              <w:jc w:val="center"/>
              <w:rPr>
                <w:rFonts w:hint="default" w:ascii="宋体" w:hAnsi="宋体" w:eastAsia="宋体"/>
                <w:kern w:val="0"/>
                <w:szCs w:val="21"/>
              </w:rPr>
            </w:pPr>
            <w:r>
              <w:rPr>
                <w:rFonts w:hint="eastAsia" w:ascii="宋体" w:hAnsi="宋体" w:eastAsia="宋体"/>
                <w:kern w:val="0"/>
                <w:szCs w:val="21"/>
              </w:rPr>
              <w:t>备注</w:t>
            </w:r>
          </w:p>
        </w:tc>
      </w:tr>
      <w:tr w14:paraId="641689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jc w:val="center"/>
        </w:trPr>
        <w:tc>
          <w:tcPr>
            <w:tcW w:w="726" w:type="dxa"/>
            <w:vAlign w:val="center"/>
          </w:tcPr>
          <w:p w14:paraId="7198F3F5">
            <w:pPr>
              <w:keepNext w:val="0"/>
              <w:keepLines w:val="0"/>
              <w:suppressLineNumbers w:val="0"/>
              <w:autoSpaceDE w:val="0"/>
              <w:autoSpaceDN w:val="0"/>
              <w:adjustRightInd w:val="0"/>
              <w:spacing w:before="0" w:beforeAutospacing="0" w:after="0" w:afterAutospacing="0"/>
              <w:ind w:left="0" w:right="0"/>
              <w:jc w:val="center"/>
              <w:rPr>
                <w:rFonts w:hint="default" w:ascii="宋体" w:hAnsi="宋体" w:eastAsia="宋体"/>
                <w:kern w:val="0"/>
                <w:szCs w:val="21"/>
              </w:rPr>
            </w:pPr>
            <w:r>
              <w:rPr>
                <w:rFonts w:hint="eastAsia" w:ascii="宋体" w:hAnsi="宋体" w:eastAsia="宋体"/>
                <w:kern w:val="0"/>
                <w:szCs w:val="21"/>
              </w:rPr>
              <w:t>1</w:t>
            </w:r>
          </w:p>
        </w:tc>
        <w:tc>
          <w:tcPr>
            <w:tcW w:w="910" w:type="dxa"/>
            <w:vAlign w:val="center"/>
          </w:tcPr>
          <w:p w14:paraId="29E8C9C8">
            <w:pPr>
              <w:keepNext w:val="0"/>
              <w:keepLines w:val="0"/>
              <w:suppressLineNumbers w:val="0"/>
              <w:autoSpaceDE w:val="0"/>
              <w:autoSpaceDN w:val="0"/>
              <w:adjustRightInd w:val="0"/>
              <w:spacing w:before="0" w:beforeAutospacing="0" w:after="0" w:afterAutospacing="0"/>
              <w:ind w:left="0" w:right="0"/>
              <w:jc w:val="center"/>
              <w:rPr>
                <w:rFonts w:hint="default" w:ascii="宋体" w:hAnsi="宋体" w:eastAsia="宋体"/>
                <w:kern w:val="0"/>
                <w:szCs w:val="21"/>
              </w:rPr>
            </w:pPr>
          </w:p>
        </w:tc>
        <w:tc>
          <w:tcPr>
            <w:tcW w:w="2985" w:type="dxa"/>
            <w:vAlign w:val="center"/>
          </w:tcPr>
          <w:p w14:paraId="3C32BA37">
            <w:pPr>
              <w:keepNext w:val="0"/>
              <w:keepLines w:val="0"/>
              <w:suppressLineNumbers w:val="0"/>
              <w:autoSpaceDE w:val="0"/>
              <w:autoSpaceDN w:val="0"/>
              <w:adjustRightInd w:val="0"/>
              <w:spacing w:before="0" w:beforeAutospacing="0" w:after="0" w:afterAutospacing="0"/>
              <w:ind w:left="0" w:right="0"/>
              <w:jc w:val="left"/>
              <w:rPr>
                <w:rFonts w:hint="default" w:ascii="宋体" w:hAnsi="宋体" w:eastAsia="宋体"/>
                <w:kern w:val="0"/>
                <w:szCs w:val="21"/>
              </w:rPr>
            </w:pPr>
          </w:p>
        </w:tc>
        <w:tc>
          <w:tcPr>
            <w:tcW w:w="1904" w:type="dxa"/>
            <w:vAlign w:val="center"/>
          </w:tcPr>
          <w:p w14:paraId="1FF2E669">
            <w:pPr>
              <w:keepNext w:val="0"/>
              <w:keepLines w:val="0"/>
              <w:suppressLineNumbers w:val="0"/>
              <w:autoSpaceDE w:val="0"/>
              <w:autoSpaceDN w:val="0"/>
              <w:adjustRightInd w:val="0"/>
              <w:spacing w:before="0" w:beforeAutospacing="0" w:after="0" w:afterAutospacing="0"/>
              <w:ind w:left="0" w:right="0"/>
              <w:jc w:val="left"/>
              <w:rPr>
                <w:rFonts w:hint="default" w:ascii="宋体" w:hAnsi="宋体" w:eastAsia="宋体"/>
                <w:kern w:val="0"/>
                <w:szCs w:val="21"/>
              </w:rPr>
            </w:pPr>
          </w:p>
        </w:tc>
        <w:tc>
          <w:tcPr>
            <w:tcW w:w="2420" w:type="dxa"/>
            <w:vAlign w:val="center"/>
          </w:tcPr>
          <w:p w14:paraId="6DFDCF0E">
            <w:pPr>
              <w:keepNext w:val="0"/>
              <w:keepLines w:val="0"/>
              <w:suppressLineNumbers w:val="0"/>
              <w:tabs>
                <w:tab w:val="left" w:pos="397"/>
              </w:tabs>
              <w:autoSpaceDE w:val="0"/>
              <w:autoSpaceDN w:val="0"/>
              <w:adjustRightInd w:val="0"/>
              <w:spacing w:before="0" w:beforeAutospacing="0" w:after="0" w:afterAutospacing="0"/>
              <w:ind w:left="0" w:right="0"/>
              <w:jc w:val="center"/>
              <w:rPr>
                <w:rFonts w:hint="default" w:ascii="宋体" w:hAnsi="宋体" w:eastAsia="宋体"/>
                <w:kern w:val="0"/>
                <w:szCs w:val="21"/>
              </w:rPr>
            </w:pPr>
          </w:p>
        </w:tc>
        <w:tc>
          <w:tcPr>
            <w:tcW w:w="1176" w:type="dxa"/>
            <w:vAlign w:val="center"/>
          </w:tcPr>
          <w:p w14:paraId="1812DF7D">
            <w:pPr>
              <w:keepNext w:val="0"/>
              <w:keepLines w:val="0"/>
              <w:suppressLineNumbers w:val="0"/>
              <w:autoSpaceDE w:val="0"/>
              <w:autoSpaceDN w:val="0"/>
              <w:adjustRightInd w:val="0"/>
              <w:spacing w:before="0" w:beforeAutospacing="0" w:after="0" w:afterAutospacing="0"/>
              <w:ind w:left="0" w:right="0"/>
              <w:jc w:val="left"/>
              <w:rPr>
                <w:rFonts w:hint="default" w:ascii="宋体" w:hAnsi="宋体" w:eastAsia="宋体"/>
                <w:kern w:val="0"/>
                <w:szCs w:val="21"/>
              </w:rPr>
            </w:pPr>
          </w:p>
        </w:tc>
      </w:tr>
      <w:tr w14:paraId="56A488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726" w:type="dxa"/>
            <w:vAlign w:val="center"/>
          </w:tcPr>
          <w:p w14:paraId="79250D0A">
            <w:pPr>
              <w:keepNext w:val="0"/>
              <w:keepLines w:val="0"/>
              <w:suppressLineNumbers w:val="0"/>
              <w:autoSpaceDE w:val="0"/>
              <w:autoSpaceDN w:val="0"/>
              <w:adjustRightInd w:val="0"/>
              <w:spacing w:before="0" w:beforeAutospacing="0" w:after="0" w:afterAutospacing="0"/>
              <w:ind w:left="0" w:right="0"/>
              <w:jc w:val="center"/>
              <w:rPr>
                <w:rFonts w:hint="eastAsia" w:ascii="宋体" w:hAnsi="宋体" w:eastAsia="宋体"/>
                <w:kern w:val="0"/>
                <w:szCs w:val="21"/>
                <w:lang w:val="en-US" w:eastAsia="zh-CN"/>
              </w:rPr>
            </w:pPr>
            <w:r>
              <w:rPr>
                <w:rFonts w:hint="eastAsia" w:ascii="宋体" w:hAnsi="宋体" w:eastAsia="宋体"/>
                <w:kern w:val="0"/>
                <w:szCs w:val="21"/>
                <w:lang w:val="en-US" w:eastAsia="zh-CN"/>
              </w:rPr>
              <w:t>2</w:t>
            </w:r>
          </w:p>
        </w:tc>
        <w:tc>
          <w:tcPr>
            <w:tcW w:w="910" w:type="dxa"/>
            <w:vAlign w:val="center"/>
          </w:tcPr>
          <w:p w14:paraId="38517449">
            <w:pPr>
              <w:keepNext w:val="0"/>
              <w:keepLines w:val="0"/>
              <w:suppressLineNumbers w:val="0"/>
              <w:autoSpaceDE w:val="0"/>
              <w:autoSpaceDN w:val="0"/>
              <w:adjustRightInd w:val="0"/>
              <w:spacing w:before="0" w:beforeAutospacing="0" w:after="0" w:afterAutospacing="0"/>
              <w:ind w:left="0" w:right="0"/>
              <w:jc w:val="center"/>
              <w:rPr>
                <w:rFonts w:hint="default" w:ascii="宋体" w:hAnsi="宋体" w:eastAsia="宋体"/>
                <w:kern w:val="0"/>
                <w:szCs w:val="21"/>
              </w:rPr>
            </w:pPr>
          </w:p>
        </w:tc>
        <w:tc>
          <w:tcPr>
            <w:tcW w:w="2985" w:type="dxa"/>
            <w:vAlign w:val="center"/>
          </w:tcPr>
          <w:p w14:paraId="0F873192">
            <w:pPr>
              <w:keepNext w:val="0"/>
              <w:keepLines w:val="0"/>
              <w:suppressLineNumbers w:val="0"/>
              <w:autoSpaceDE w:val="0"/>
              <w:autoSpaceDN w:val="0"/>
              <w:adjustRightInd w:val="0"/>
              <w:spacing w:before="0" w:beforeAutospacing="0" w:after="0" w:afterAutospacing="0"/>
              <w:ind w:left="0" w:right="0"/>
              <w:jc w:val="left"/>
              <w:rPr>
                <w:rFonts w:hint="default" w:ascii="宋体" w:hAnsi="宋体" w:eastAsia="宋体"/>
                <w:kern w:val="0"/>
                <w:szCs w:val="21"/>
              </w:rPr>
            </w:pPr>
          </w:p>
        </w:tc>
        <w:tc>
          <w:tcPr>
            <w:tcW w:w="1904" w:type="dxa"/>
            <w:vAlign w:val="center"/>
          </w:tcPr>
          <w:p w14:paraId="6627547A">
            <w:pPr>
              <w:keepNext w:val="0"/>
              <w:keepLines w:val="0"/>
              <w:suppressLineNumbers w:val="0"/>
              <w:autoSpaceDE w:val="0"/>
              <w:autoSpaceDN w:val="0"/>
              <w:adjustRightInd w:val="0"/>
              <w:spacing w:before="0" w:beforeAutospacing="0" w:after="0" w:afterAutospacing="0"/>
              <w:ind w:left="0" w:right="0"/>
              <w:jc w:val="left"/>
              <w:rPr>
                <w:rFonts w:hint="default" w:ascii="宋体" w:hAnsi="宋体" w:eastAsia="宋体"/>
                <w:kern w:val="0"/>
                <w:szCs w:val="21"/>
              </w:rPr>
            </w:pPr>
          </w:p>
        </w:tc>
        <w:tc>
          <w:tcPr>
            <w:tcW w:w="2420" w:type="dxa"/>
            <w:vAlign w:val="center"/>
          </w:tcPr>
          <w:p w14:paraId="6911949F">
            <w:pPr>
              <w:keepNext w:val="0"/>
              <w:keepLines w:val="0"/>
              <w:suppressLineNumbers w:val="0"/>
              <w:tabs>
                <w:tab w:val="left" w:pos="397"/>
              </w:tabs>
              <w:autoSpaceDE w:val="0"/>
              <w:autoSpaceDN w:val="0"/>
              <w:adjustRightInd w:val="0"/>
              <w:spacing w:before="0" w:beforeAutospacing="0" w:after="0" w:afterAutospacing="0"/>
              <w:ind w:left="0" w:right="0"/>
              <w:jc w:val="center"/>
              <w:rPr>
                <w:rFonts w:hint="default" w:ascii="宋体" w:hAnsi="宋体" w:eastAsia="宋体"/>
                <w:kern w:val="0"/>
                <w:szCs w:val="21"/>
              </w:rPr>
            </w:pPr>
          </w:p>
        </w:tc>
        <w:tc>
          <w:tcPr>
            <w:tcW w:w="1176" w:type="dxa"/>
            <w:vAlign w:val="center"/>
          </w:tcPr>
          <w:p w14:paraId="17874933">
            <w:pPr>
              <w:keepNext w:val="0"/>
              <w:keepLines w:val="0"/>
              <w:suppressLineNumbers w:val="0"/>
              <w:autoSpaceDE w:val="0"/>
              <w:autoSpaceDN w:val="0"/>
              <w:adjustRightInd w:val="0"/>
              <w:spacing w:before="0" w:beforeAutospacing="0" w:after="0" w:afterAutospacing="0"/>
              <w:ind w:left="0" w:right="0"/>
              <w:jc w:val="left"/>
              <w:rPr>
                <w:rFonts w:hint="default" w:ascii="宋体" w:hAnsi="宋体" w:eastAsia="宋体"/>
                <w:kern w:val="0"/>
                <w:szCs w:val="21"/>
              </w:rPr>
            </w:pPr>
          </w:p>
        </w:tc>
      </w:tr>
    </w:tbl>
    <w:p w14:paraId="239D63B9">
      <w:pPr>
        <w:widowControl/>
        <w:numPr>
          <w:ilvl w:val="0"/>
          <w:numId w:val="0"/>
        </w:numPr>
        <w:spacing w:line="360" w:lineRule="auto"/>
        <w:ind w:firstLine="420" w:firstLineChars="0"/>
        <w:jc w:val="left"/>
        <w:rPr>
          <w:rFonts w:hint="default" w:ascii="宋体" w:hAnsi="宋体" w:cs="宋体" w:eastAsiaTheme="minorEastAsia"/>
          <w:kern w:val="0"/>
          <w:szCs w:val="21"/>
          <w:lang w:val="en-US" w:eastAsia="zh-CN"/>
        </w:rPr>
      </w:pPr>
    </w:p>
    <w:p w14:paraId="0DC39508">
      <w:pPr>
        <w:widowControl/>
        <w:numPr>
          <w:ilvl w:val="0"/>
          <w:numId w:val="1"/>
        </w:numPr>
        <w:spacing w:line="360" w:lineRule="auto"/>
        <w:ind w:left="0" w:leftChars="0" w:firstLine="420" w:firstLineChars="200"/>
        <w:jc w:val="left"/>
        <w:rPr>
          <w:rFonts w:hint="eastAsia" w:ascii="宋体" w:hAnsi="宋体" w:cs="宋体"/>
          <w:kern w:val="0"/>
          <w:szCs w:val="21"/>
        </w:rPr>
      </w:pPr>
      <w:r>
        <w:rPr>
          <w:rFonts w:hint="eastAsia" w:ascii="宋体" w:hAnsi="宋体" w:cs="宋体"/>
          <w:kern w:val="0"/>
          <w:szCs w:val="21"/>
        </w:rPr>
        <w:t>审查阶段</w:t>
      </w:r>
    </w:p>
    <w:p w14:paraId="06B8BA17">
      <w:pPr>
        <w:pStyle w:val="11"/>
        <w:spacing w:line="360" w:lineRule="auto"/>
        <w:rPr>
          <w:rFonts w:hint="eastAsia" w:ascii="宋体" w:hAnsi="宋体" w:eastAsia="宋体" w:cstheme="minorBidi"/>
          <w:kern w:val="0"/>
          <w:sz w:val="21"/>
          <w:szCs w:val="21"/>
          <w:lang w:val="en-US" w:eastAsia="zh-CN" w:bidi="ar-SA"/>
        </w:rPr>
      </w:pPr>
      <w:r>
        <w:rPr>
          <w:rFonts w:hint="eastAsia" w:ascii="宋体" w:hAnsi="宋体" w:eastAsia="宋体" w:cstheme="minorBidi"/>
          <w:kern w:val="0"/>
          <w:sz w:val="21"/>
          <w:szCs w:val="21"/>
          <w:lang w:val="en-US" w:eastAsia="zh-CN" w:bidi="ar-SA"/>
        </w:rPr>
        <w:t>2024年XX月XX日，长春市市场监督管理局在长春市组织召开了《专利申请预审规范》（送审稿）审查会，来自XXX的XX家单位的XX位专家出席会议，并组成标准审查组。标准起草工作组汇报了标准制定情况及有关说明。审查专家组听取并审阅了标准起草组提交的《</w:t>
      </w:r>
      <w:r>
        <w:rPr>
          <w:rFonts w:hint="eastAsia" w:ascii="宋体" w:hAnsi="宋体" w:eastAsia="宋体"/>
          <w:kern w:val="0"/>
          <w:szCs w:val="21"/>
        </w:rPr>
        <w:t>专利申请预审规范</w:t>
      </w:r>
      <w:r>
        <w:rPr>
          <w:rFonts w:hint="eastAsia" w:ascii="宋体" w:hAnsi="宋体" w:eastAsia="宋体" w:cstheme="minorBidi"/>
          <w:kern w:val="0"/>
          <w:sz w:val="21"/>
          <w:szCs w:val="21"/>
          <w:lang w:val="en-US" w:eastAsia="zh-CN" w:bidi="ar-SA"/>
        </w:rPr>
        <w:t>》送审稿的标准文本、编制说明等文件资料。与会专家对《</w:t>
      </w:r>
      <w:r>
        <w:rPr>
          <w:rFonts w:hint="eastAsia" w:ascii="宋体" w:hAnsi="宋体" w:eastAsia="宋体"/>
          <w:kern w:val="0"/>
          <w:szCs w:val="21"/>
        </w:rPr>
        <w:t>专利申请预审规范</w:t>
      </w:r>
      <w:r>
        <w:rPr>
          <w:rFonts w:hint="eastAsia" w:ascii="宋体" w:hAnsi="宋体" w:eastAsia="宋体" w:cstheme="minorBidi"/>
          <w:kern w:val="0"/>
          <w:sz w:val="21"/>
          <w:szCs w:val="21"/>
          <w:lang w:val="en-US" w:eastAsia="zh-CN" w:bidi="ar-SA"/>
        </w:rPr>
        <w:t>》文本进行了逐章逐条地审查，并提出了修改意见。经充分讨论，审查专家组一致同意通过《</w:t>
      </w:r>
      <w:r>
        <w:rPr>
          <w:rFonts w:hint="eastAsia" w:ascii="宋体" w:hAnsi="宋体" w:eastAsia="宋体"/>
          <w:kern w:val="0"/>
          <w:szCs w:val="21"/>
        </w:rPr>
        <w:t>专利申请预审规范</w:t>
      </w:r>
      <w:r>
        <w:rPr>
          <w:rFonts w:hint="eastAsia" w:ascii="宋体" w:hAnsi="宋体" w:eastAsia="宋体" w:cstheme="minorBidi"/>
          <w:kern w:val="0"/>
          <w:sz w:val="21"/>
          <w:szCs w:val="21"/>
          <w:lang w:val="en-US" w:eastAsia="zh-CN" w:bidi="ar-SA"/>
        </w:rPr>
        <w:t>》的审定。</w:t>
      </w:r>
    </w:p>
    <w:p w14:paraId="73F82558">
      <w:pPr>
        <w:widowControl/>
        <w:numPr>
          <w:ilvl w:val="0"/>
          <w:numId w:val="1"/>
        </w:numPr>
        <w:spacing w:line="360" w:lineRule="auto"/>
        <w:ind w:left="0" w:leftChars="0" w:firstLine="420" w:firstLineChars="200"/>
        <w:jc w:val="left"/>
        <w:rPr>
          <w:rFonts w:hint="eastAsia" w:ascii="宋体" w:hAnsi="宋体" w:cs="宋体"/>
          <w:kern w:val="0"/>
          <w:szCs w:val="21"/>
        </w:rPr>
      </w:pPr>
      <w:r>
        <w:rPr>
          <w:rFonts w:hint="eastAsia" w:ascii="宋体" w:hAnsi="宋体" w:cs="宋体"/>
          <w:kern w:val="0"/>
          <w:szCs w:val="21"/>
        </w:rPr>
        <w:t>报批阶段</w:t>
      </w:r>
    </w:p>
    <w:p w14:paraId="5495EFFA">
      <w:pPr>
        <w:widowControl/>
        <w:spacing w:line="360" w:lineRule="auto"/>
        <w:ind w:firstLine="420" w:firstLineChars="200"/>
        <w:rPr>
          <w:rFonts w:hint="eastAsia" w:eastAsiaTheme="minorEastAsia"/>
          <w:lang w:eastAsia="zh-CN"/>
        </w:rPr>
      </w:pPr>
      <w:r>
        <w:rPr>
          <w:rFonts w:hint="eastAsia"/>
        </w:rPr>
        <w:t>起草组会后根据专家的意见对标准进行修改和完善</w:t>
      </w:r>
      <w:r>
        <w:rPr>
          <w:rFonts w:hint="eastAsia"/>
          <w:lang w:eastAsia="zh-CN"/>
        </w:rPr>
        <w:t>，</w:t>
      </w:r>
      <w:r>
        <w:rPr>
          <w:rFonts w:hint="eastAsia"/>
        </w:rPr>
        <w:t>尽快形成了标准报批稿</w:t>
      </w:r>
      <w:r>
        <w:rPr>
          <w:rFonts w:hint="eastAsia"/>
          <w:lang w:eastAsia="zh-CN"/>
        </w:rPr>
        <w:t>，</w:t>
      </w:r>
      <w:r>
        <w:rPr>
          <w:rFonts w:hint="eastAsia" w:ascii="宋体" w:hAnsi="宋体" w:eastAsia="宋体"/>
          <w:kern w:val="0"/>
          <w:szCs w:val="21"/>
        </w:rPr>
        <w:t>提交长春市市场监督管理局报批。</w:t>
      </w:r>
    </w:p>
    <w:p w14:paraId="22AB5359">
      <w:pPr>
        <w:widowControl/>
        <w:numPr>
          <w:ilvl w:val="0"/>
          <w:numId w:val="0"/>
        </w:numPr>
        <w:spacing w:line="360" w:lineRule="auto"/>
        <w:ind w:firstLine="420" w:firstLineChars="200"/>
        <w:jc w:val="left"/>
        <w:rPr>
          <w:rFonts w:hint="eastAsia" w:ascii="黑体" w:hAnsi="宋体" w:eastAsia="黑体"/>
          <w:kern w:val="0"/>
          <w:szCs w:val="21"/>
          <w:lang w:eastAsia="zh-CN"/>
        </w:rPr>
      </w:pPr>
      <w:r>
        <w:rPr>
          <w:rFonts w:hint="eastAsia" w:ascii="黑体" w:hAnsi="宋体" w:eastAsia="黑体"/>
          <w:kern w:val="0"/>
          <w:szCs w:val="21"/>
          <w:lang w:eastAsia="zh-CN"/>
        </w:rPr>
        <w:t>四、</w:t>
      </w:r>
      <w:r>
        <w:rPr>
          <w:rFonts w:hint="eastAsia" w:ascii="黑体" w:hAnsi="宋体" w:eastAsia="黑体"/>
          <w:color w:val="auto"/>
          <w:kern w:val="0"/>
          <w:szCs w:val="21"/>
          <w:lang w:eastAsia="zh-CN"/>
        </w:rPr>
        <w:t>制</w:t>
      </w:r>
      <w:r>
        <w:rPr>
          <w:rFonts w:hint="eastAsia" w:ascii="黑体" w:hAnsi="宋体" w:eastAsia="黑体"/>
          <w:color w:val="auto"/>
          <w:kern w:val="0"/>
          <w:szCs w:val="21"/>
          <w:lang w:val="en-US" w:eastAsia="zh-CN"/>
        </w:rPr>
        <w:t>定</w:t>
      </w:r>
      <w:r>
        <w:rPr>
          <w:rFonts w:hint="eastAsia" w:ascii="黑体" w:hAnsi="宋体" w:eastAsia="黑体"/>
          <w:color w:val="auto"/>
          <w:kern w:val="0"/>
          <w:szCs w:val="21"/>
          <w:lang w:eastAsia="zh-CN"/>
        </w:rPr>
        <w:t>标</w:t>
      </w:r>
      <w:r>
        <w:rPr>
          <w:rFonts w:hint="eastAsia" w:ascii="黑体" w:hAnsi="宋体" w:eastAsia="黑体"/>
          <w:kern w:val="0"/>
          <w:szCs w:val="21"/>
          <w:lang w:eastAsia="zh-CN"/>
        </w:rPr>
        <w:t>准的原则和依据，与现行法律、法规、标准的关系</w:t>
      </w:r>
    </w:p>
    <w:p w14:paraId="79DC8584">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（一）编制原则</w:t>
      </w:r>
    </w:p>
    <w:p w14:paraId="782FBC8B">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本标准编制遵循“科学性、适用性、</w:t>
      </w:r>
      <w:r>
        <w:rPr>
          <w:rFonts w:hint="eastAsia" w:ascii="宋体" w:hAnsi="宋体" w:cs="宋体"/>
          <w:kern w:val="0"/>
          <w:szCs w:val="21"/>
          <w:lang w:eastAsia="zh-CN"/>
        </w:rPr>
        <w:t>通</w:t>
      </w:r>
      <w:r>
        <w:rPr>
          <w:rFonts w:hint="eastAsia" w:ascii="宋体" w:hAnsi="宋体" w:cs="宋体"/>
          <w:kern w:val="0"/>
          <w:szCs w:val="21"/>
        </w:rPr>
        <w:t>用性、规范性”原则，力求层次清晰</w:t>
      </w:r>
      <w:r>
        <w:rPr>
          <w:rFonts w:hint="eastAsia" w:ascii="宋体" w:hAnsi="宋体" w:cs="宋体"/>
          <w:kern w:val="0"/>
          <w:szCs w:val="21"/>
          <w:lang w:eastAsia="zh-CN"/>
        </w:rPr>
        <w:t>、</w:t>
      </w:r>
      <w:r>
        <w:rPr>
          <w:rFonts w:hint="eastAsia" w:ascii="宋体" w:hAnsi="宋体" w:cs="宋体"/>
          <w:kern w:val="0"/>
          <w:szCs w:val="21"/>
        </w:rPr>
        <w:t>结构合理</w:t>
      </w:r>
      <w:r>
        <w:rPr>
          <w:rFonts w:hint="eastAsia" w:ascii="宋体" w:hAnsi="宋体" w:cs="宋体"/>
          <w:kern w:val="0"/>
          <w:szCs w:val="21"/>
          <w:lang w:eastAsia="zh-CN"/>
        </w:rPr>
        <w:t>、</w:t>
      </w:r>
      <w:r>
        <w:rPr>
          <w:rFonts w:hint="eastAsia" w:ascii="宋体" w:hAnsi="宋体" w:cs="宋体"/>
          <w:kern w:val="0"/>
          <w:szCs w:val="21"/>
        </w:rPr>
        <w:t>内容准确</w:t>
      </w:r>
      <w:r>
        <w:rPr>
          <w:rFonts w:hint="eastAsia" w:ascii="宋体" w:hAnsi="宋体" w:cs="宋体"/>
          <w:kern w:val="0"/>
          <w:szCs w:val="21"/>
          <w:lang w:eastAsia="zh-CN"/>
        </w:rPr>
        <w:t>、表述精炼</w:t>
      </w:r>
      <w:r>
        <w:rPr>
          <w:rFonts w:hint="eastAsia" w:ascii="宋体" w:hAnsi="宋体" w:cs="宋体"/>
          <w:kern w:val="0"/>
          <w:szCs w:val="21"/>
        </w:rPr>
        <w:t>，确保标准科学严谨</w:t>
      </w:r>
      <w:r>
        <w:rPr>
          <w:rFonts w:hint="eastAsia" w:ascii="宋体" w:hAnsi="宋体" w:cs="宋体"/>
          <w:kern w:val="0"/>
          <w:szCs w:val="21"/>
          <w:lang w:eastAsia="zh-CN"/>
        </w:rPr>
        <w:t>、</w:t>
      </w:r>
      <w:r>
        <w:rPr>
          <w:rFonts w:hint="eastAsia" w:ascii="宋体" w:hAnsi="宋体" w:cs="宋体"/>
          <w:kern w:val="0"/>
          <w:szCs w:val="21"/>
        </w:rPr>
        <w:t>实际操作简单</w:t>
      </w:r>
      <w:r>
        <w:rPr>
          <w:rFonts w:hint="eastAsia" w:ascii="宋体" w:hAnsi="宋体" w:cs="宋体"/>
          <w:kern w:val="0"/>
          <w:szCs w:val="21"/>
          <w:lang w:eastAsia="zh-CN"/>
        </w:rPr>
        <w:t>、</w:t>
      </w:r>
      <w:r>
        <w:rPr>
          <w:rFonts w:hint="eastAsia" w:ascii="宋体" w:hAnsi="宋体" w:cs="宋体"/>
          <w:kern w:val="0"/>
          <w:szCs w:val="21"/>
        </w:rPr>
        <w:t>易于广泛适用。</w:t>
      </w:r>
    </w:p>
    <w:p w14:paraId="3514ECC7">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（二）依据</w:t>
      </w:r>
    </w:p>
    <w:p w14:paraId="2383504A">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1</w:t>
      </w:r>
      <w:r>
        <w:rPr>
          <w:rFonts w:hint="eastAsia" w:ascii="宋体" w:hAnsi="宋体" w:cs="宋体"/>
          <w:kern w:val="0"/>
          <w:szCs w:val="21"/>
          <w:lang w:eastAsia="zh-CN"/>
        </w:rPr>
        <w:t>.</w:t>
      </w:r>
      <w:r>
        <w:rPr>
          <w:rFonts w:hint="eastAsia" w:ascii="宋体" w:hAnsi="宋体" w:cs="宋体"/>
          <w:kern w:val="0"/>
          <w:szCs w:val="21"/>
        </w:rPr>
        <w:t>法律法规依据</w:t>
      </w:r>
    </w:p>
    <w:p w14:paraId="4BB8B504">
      <w:pPr>
        <w:widowControl/>
        <w:spacing w:line="360" w:lineRule="auto"/>
        <w:ind w:firstLine="420" w:firstLineChars="200"/>
        <w:jc w:val="left"/>
        <w:rPr>
          <w:rFonts w:hint="eastAsia" w:ascii="宋体" w:hAnsi="宋体" w:cs="宋体"/>
          <w:kern w:val="0"/>
          <w:szCs w:val="21"/>
          <w:lang w:val="en-US" w:eastAsia="zh-CN"/>
        </w:rPr>
      </w:pPr>
      <w:r>
        <w:rPr>
          <w:rFonts w:hint="eastAsia" w:ascii="宋体" w:hAnsi="宋体" w:cs="宋体"/>
          <w:kern w:val="0"/>
          <w:szCs w:val="21"/>
          <w:lang w:val="en-US" w:eastAsia="zh-CN"/>
        </w:rPr>
        <w:t>《中华人民共和国标准化法》</w:t>
      </w:r>
    </w:p>
    <w:p w14:paraId="2B49CC51">
      <w:pPr>
        <w:widowControl/>
        <w:spacing w:line="360" w:lineRule="auto"/>
        <w:ind w:firstLine="420" w:firstLineChars="200"/>
        <w:jc w:val="left"/>
        <w:rPr>
          <w:rFonts w:hint="eastAsia" w:ascii="宋体" w:hAnsi="宋体" w:cs="宋体"/>
          <w:kern w:val="0"/>
          <w:szCs w:val="21"/>
          <w:lang w:val="en-US" w:eastAsia="zh-CN"/>
        </w:rPr>
      </w:pPr>
      <w:r>
        <w:rPr>
          <w:rFonts w:hint="eastAsia" w:ascii="宋体" w:hAnsi="宋体" w:cs="宋体"/>
          <w:kern w:val="0"/>
          <w:szCs w:val="21"/>
          <w:lang w:val="en-US" w:eastAsia="zh-CN"/>
        </w:rPr>
        <w:t>《中华人民共和国专利法》（2020年修订）</w:t>
      </w:r>
    </w:p>
    <w:p w14:paraId="3A215B4F">
      <w:pPr>
        <w:widowControl/>
        <w:spacing w:line="360" w:lineRule="auto"/>
        <w:ind w:firstLine="420" w:firstLineChars="200"/>
        <w:jc w:val="left"/>
        <w:rPr>
          <w:rFonts w:hint="eastAsia" w:ascii="宋体" w:hAnsi="宋体" w:cs="宋体"/>
          <w:kern w:val="0"/>
          <w:szCs w:val="21"/>
          <w:lang w:val="en-US" w:eastAsia="zh-CN"/>
        </w:rPr>
      </w:pPr>
      <w:r>
        <w:rPr>
          <w:rFonts w:hint="eastAsia" w:ascii="宋体" w:hAnsi="宋体" w:cs="宋体"/>
          <w:kern w:val="0"/>
          <w:szCs w:val="21"/>
          <w:lang w:val="en-US" w:eastAsia="zh-CN"/>
        </w:rPr>
        <w:t>2.标准依据</w:t>
      </w:r>
    </w:p>
    <w:p w14:paraId="53C977B1">
      <w:pPr>
        <w:widowControl/>
        <w:spacing w:line="360" w:lineRule="auto"/>
        <w:ind w:firstLine="420" w:firstLineChars="200"/>
        <w:jc w:val="left"/>
        <w:rPr>
          <w:rFonts w:hint="eastAsia" w:ascii="宋体" w:hAnsi="宋体" w:cs="宋体"/>
          <w:kern w:val="0"/>
          <w:szCs w:val="21"/>
          <w:lang w:val="en-US" w:eastAsia="zh-CN"/>
        </w:rPr>
      </w:pPr>
      <w:r>
        <w:rPr>
          <w:rFonts w:hint="eastAsia" w:ascii="宋体" w:hAnsi="宋体" w:cs="宋体"/>
          <w:kern w:val="0"/>
          <w:szCs w:val="21"/>
          <w:lang w:val="en-US" w:eastAsia="zh-CN"/>
        </w:rPr>
        <w:t>GB/T 1.1—2020　标准化工作导则  第1部分：标准化文件的结构和起草规则</w:t>
      </w:r>
    </w:p>
    <w:p w14:paraId="35C77D4A">
      <w:pPr>
        <w:widowControl/>
        <w:numPr>
          <w:ilvl w:val="0"/>
          <w:numId w:val="2"/>
        </w:numPr>
        <w:spacing w:line="360" w:lineRule="auto"/>
        <w:ind w:firstLine="420" w:firstLineChars="200"/>
        <w:jc w:val="left"/>
        <w:rPr>
          <w:rFonts w:hint="eastAsia" w:ascii="宋体" w:hAnsi="宋体" w:cs="宋体"/>
          <w:kern w:val="0"/>
          <w:szCs w:val="21"/>
          <w:lang w:val="en-US" w:eastAsia="zh-CN"/>
        </w:rPr>
      </w:pPr>
      <w:r>
        <w:rPr>
          <w:rFonts w:hint="eastAsia" w:ascii="宋体" w:hAnsi="宋体" w:cs="宋体"/>
          <w:kern w:val="0"/>
          <w:szCs w:val="21"/>
          <w:lang w:val="en-US" w:eastAsia="zh-CN"/>
        </w:rPr>
        <w:t>其他文件</w:t>
      </w:r>
    </w:p>
    <w:p w14:paraId="3C1F8557">
      <w:pPr>
        <w:widowControl/>
        <w:spacing w:line="360" w:lineRule="auto"/>
        <w:ind w:firstLine="420" w:firstLineChars="200"/>
        <w:jc w:val="left"/>
        <w:rPr>
          <w:rFonts w:hint="eastAsia" w:ascii="宋体" w:hAnsi="宋体" w:cs="宋体"/>
          <w:kern w:val="0"/>
          <w:szCs w:val="21"/>
          <w:lang w:val="en-US" w:eastAsia="zh-CN"/>
        </w:rPr>
      </w:pPr>
      <w:r>
        <w:rPr>
          <w:rFonts w:hint="eastAsia" w:ascii="宋体" w:hAnsi="宋体" w:cs="宋体"/>
          <w:kern w:val="0"/>
          <w:szCs w:val="21"/>
          <w:lang w:val="en-US" w:eastAsia="zh-CN"/>
        </w:rPr>
        <w:t>《中华人民共和国专利法实施细则》（2023年修订）</w:t>
      </w:r>
    </w:p>
    <w:p w14:paraId="1216ADF7">
      <w:pPr>
        <w:widowControl/>
        <w:spacing w:line="360" w:lineRule="auto"/>
        <w:ind w:firstLine="420" w:firstLineChars="200"/>
        <w:jc w:val="left"/>
        <w:rPr>
          <w:rFonts w:hint="eastAsia" w:ascii="宋体" w:hAnsi="宋体" w:cs="宋体"/>
          <w:kern w:val="0"/>
          <w:szCs w:val="21"/>
          <w:lang w:val="en-US" w:eastAsia="zh-CN"/>
        </w:rPr>
      </w:pPr>
      <w:r>
        <w:rPr>
          <w:rFonts w:hint="eastAsia" w:ascii="宋体" w:hAnsi="宋体" w:cs="宋体"/>
          <w:kern w:val="0"/>
          <w:szCs w:val="21"/>
          <w:lang w:val="en-US" w:eastAsia="zh-CN"/>
        </w:rPr>
        <w:t>《专利审查指南2023》（2023年修订）</w:t>
      </w:r>
    </w:p>
    <w:p w14:paraId="10A9E7DE">
      <w:pPr>
        <w:widowControl/>
        <w:spacing w:line="360" w:lineRule="auto"/>
        <w:ind w:firstLine="420" w:firstLineChars="200"/>
        <w:jc w:val="left"/>
        <w:rPr>
          <w:rFonts w:hint="eastAsia" w:ascii="宋体" w:hAnsi="宋体" w:cs="宋体"/>
          <w:kern w:val="0"/>
          <w:szCs w:val="21"/>
          <w:lang w:val="en-US" w:eastAsia="zh-CN"/>
        </w:rPr>
      </w:pPr>
      <w:r>
        <w:rPr>
          <w:rFonts w:hint="eastAsia" w:ascii="宋体" w:hAnsi="宋体" w:cs="宋体"/>
          <w:kern w:val="0"/>
          <w:szCs w:val="21"/>
          <w:lang w:val="en-US" w:eastAsia="zh-CN"/>
        </w:rPr>
        <w:t>《规范申请专利行为的规定（2023）》（国家知识产权局令第77号）</w:t>
      </w:r>
    </w:p>
    <w:p w14:paraId="0FBA7FDB">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（三）与有关的现行法律、法规和强制性标准的关系</w:t>
      </w:r>
    </w:p>
    <w:p w14:paraId="29549DF5">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本标准符合现行法律、法规要求，与相关国家标准、地方标准保持协调一致、无冲突。</w:t>
      </w:r>
    </w:p>
    <w:p w14:paraId="3AC4BF96">
      <w:pPr>
        <w:widowControl/>
        <w:numPr>
          <w:ilvl w:val="0"/>
          <w:numId w:val="3"/>
        </w:numPr>
        <w:spacing w:line="360" w:lineRule="auto"/>
        <w:ind w:firstLine="420" w:firstLineChars="200"/>
        <w:jc w:val="left"/>
        <w:rPr>
          <w:rFonts w:hint="eastAsia" w:ascii="黑体" w:hAnsi="宋体" w:eastAsia="黑体"/>
          <w:kern w:val="0"/>
          <w:szCs w:val="21"/>
          <w:lang w:eastAsia="zh-CN"/>
        </w:rPr>
      </w:pPr>
      <w:r>
        <w:rPr>
          <w:rFonts w:hint="eastAsia" w:ascii="黑体" w:hAnsi="宋体" w:eastAsia="黑体"/>
          <w:kern w:val="0"/>
          <w:szCs w:val="21"/>
          <w:lang w:eastAsia="zh-CN"/>
        </w:rPr>
        <w:t>主要条款的说明，主要技术指标、参数、试验验证的论述</w:t>
      </w:r>
    </w:p>
    <w:p w14:paraId="02CE5C1A">
      <w:pPr>
        <w:widowControl/>
        <w:numPr>
          <w:ilvl w:val="0"/>
          <w:numId w:val="0"/>
        </w:numPr>
        <w:spacing w:line="360" w:lineRule="auto"/>
        <w:ind w:firstLine="420" w:firstLineChars="200"/>
        <w:jc w:val="left"/>
        <w:rPr>
          <w:rFonts w:hint="default" w:ascii="Times New Roman" w:hAnsi="Times New Roman" w:eastAsia="仿宋_GB2312" w:cs="仿宋"/>
          <w:sz w:val="32"/>
          <w:szCs w:val="32"/>
          <w:lang w:val="en-US" w:eastAsia="zh-CN"/>
        </w:rPr>
      </w:pPr>
      <w:r>
        <w:rPr>
          <w:rFonts w:hint="eastAsia" w:ascii="宋体" w:hAnsi="宋体" w:cs="宋体"/>
          <w:kern w:val="0"/>
          <w:szCs w:val="21"/>
          <w:lang w:val="en-US" w:eastAsia="zh-CN"/>
        </w:rPr>
        <w:t>标准起草组先后走访调研多个企事业单位、专利代理服务机构。调研结果显示，长春市内高新技术企业对专利预审的需求量逐年递增，但由于专利预审业务开展时间较短，且对专利质量要求较高，使得在申请材料提供、受理条件限定、修改答复期限等方面一直缺乏统一的标准作为参考，导致预审服务效能没有得到充分释放。综合调研结果以及各方意见，形成了标准文本：术语和定义、申请主体备案、代理机构管理、预审服务、案件预审阶段、案件复核阶段、质量保障、保密管理等。</w:t>
      </w:r>
    </w:p>
    <w:p w14:paraId="39AE4ED2">
      <w:pPr>
        <w:widowControl/>
        <w:numPr>
          <w:ilvl w:val="0"/>
          <w:numId w:val="0"/>
        </w:numPr>
        <w:spacing w:line="360" w:lineRule="auto"/>
        <w:ind w:firstLine="420" w:firstLineChars="200"/>
        <w:jc w:val="left"/>
        <w:rPr>
          <w:rFonts w:hint="eastAsia" w:ascii="宋体" w:hAnsi="宋体" w:cs="宋体"/>
          <w:kern w:val="0"/>
          <w:szCs w:val="21"/>
          <w:lang w:val="en-US" w:eastAsia="zh-CN"/>
        </w:rPr>
      </w:pPr>
      <w:r>
        <w:rPr>
          <w:rFonts w:hint="eastAsia" w:ascii="宋体" w:hAnsi="宋体" w:cs="宋体"/>
          <w:kern w:val="0"/>
          <w:szCs w:val="21"/>
          <w:lang w:val="en-US" w:eastAsia="zh-CN"/>
        </w:rPr>
        <w:t>（一）本标准内容技术指标的确立参考GB/T 34833-2017《专利代理机构服务规范》、《中华人民共和国专利法》、《中华人民共和国专利法实施细则》、《专利审查指南2023》、《规范申请专利行为的规定（2023）》（国家知识产权局令第77号），《专利预审业务管理办法（试行）》依据行业内术语与定义制定专利申请预审规范。</w:t>
      </w:r>
    </w:p>
    <w:p w14:paraId="6044FD3A">
      <w:pPr>
        <w:widowControl/>
        <w:numPr>
          <w:ilvl w:val="0"/>
          <w:numId w:val="0"/>
        </w:numPr>
        <w:spacing w:line="360" w:lineRule="auto"/>
        <w:ind w:firstLine="420" w:firstLineChars="200"/>
        <w:jc w:val="left"/>
        <w:rPr>
          <w:rFonts w:hint="eastAsia" w:ascii="宋体" w:hAnsi="宋体" w:cs="宋体"/>
          <w:kern w:val="0"/>
          <w:szCs w:val="21"/>
          <w:lang w:val="en-US" w:eastAsia="zh-CN"/>
        </w:rPr>
      </w:pPr>
      <w:r>
        <w:rPr>
          <w:rFonts w:hint="eastAsia" w:ascii="宋体" w:hAnsi="宋体" w:cs="宋体"/>
          <w:kern w:val="0"/>
          <w:szCs w:val="21"/>
          <w:lang w:val="en-US" w:eastAsia="zh-CN"/>
        </w:rPr>
        <w:t>（二）5申请主体备案。</w:t>
      </w:r>
    </w:p>
    <w:p w14:paraId="1D8C5F5F">
      <w:pPr>
        <w:widowControl/>
        <w:numPr>
          <w:ilvl w:val="0"/>
          <w:numId w:val="0"/>
        </w:numPr>
        <w:spacing w:line="360" w:lineRule="auto"/>
        <w:ind w:firstLine="420" w:firstLineChars="200"/>
        <w:jc w:val="left"/>
        <w:rPr>
          <w:rFonts w:hint="eastAsia" w:ascii="Times New Roman" w:hAnsi="Times New Roman" w:eastAsia="仿宋_GB2312" w:cs="仿宋"/>
          <w:sz w:val="32"/>
          <w:szCs w:val="32"/>
          <w:lang w:val="en-US" w:eastAsia="zh-CN"/>
        </w:rPr>
      </w:pPr>
      <w:r>
        <w:rPr>
          <w:rFonts w:hint="eastAsia" w:ascii="宋体" w:hAnsi="宋体" w:cs="宋体"/>
          <w:kern w:val="0"/>
          <w:szCs w:val="21"/>
          <w:lang w:val="en-US" w:eastAsia="zh-CN"/>
        </w:rPr>
        <w:t>按照国家知识产权局《专利预审业务管理办法（试行）》要求，结合长春市行政区域内的企事业单位备案服务情况，给出申请主体的备案条件、备案方式、备案材料、审核、</w:t>
      </w:r>
      <w:bookmarkStart w:id="0" w:name="_GoBack"/>
      <w:bookmarkEnd w:id="0"/>
      <w:r>
        <w:rPr>
          <w:rFonts w:hint="eastAsia" w:ascii="宋体" w:hAnsi="宋体" w:cs="宋体"/>
          <w:kern w:val="0"/>
          <w:szCs w:val="21"/>
          <w:lang w:val="en-US" w:eastAsia="zh-CN"/>
        </w:rPr>
        <w:t>公示及备案资格管理等内容。</w:t>
      </w:r>
    </w:p>
    <w:p w14:paraId="26C3CA2E">
      <w:pPr>
        <w:widowControl/>
        <w:numPr>
          <w:ilvl w:val="0"/>
          <w:numId w:val="0"/>
        </w:numPr>
        <w:spacing w:line="360" w:lineRule="auto"/>
        <w:ind w:firstLine="420" w:firstLineChars="200"/>
        <w:jc w:val="left"/>
        <w:rPr>
          <w:rFonts w:hint="eastAsia" w:ascii="宋体" w:hAnsi="宋体" w:cs="宋体"/>
          <w:kern w:val="0"/>
          <w:szCs w:val="21"/>
          <w:lang w:val="en-US" w:eastAsia="zh-CN"/>
        </w:rPr>
      </w:pPr>
      <w:r>
        <w:rPr>
          <w:rFonts w:hint="eastAsia" w:ascii="宋体" w:hAnsi="宋体" w:cs="宋体"/>
          <w:kern w:val="0"/>
          <w:szCs w:val="21"/>
          <w:lang w:val="en-US" w:eastAsia="zh-CN"/>
        </w:rPr>
        <w:t>（三）6代理机构管理。</w:t>
      </w:r>
    </w:p>
    <w:p w14:paraId="4861B793">
      <w:pPr>
        <w:widowControl/>
        <w:numPr>
          <w:ilvl w:val="0"/>
          <w:numId w:val="0"/>
        </w:numPr>
        <w:spacing w:line="360" w:lineRule="auto"/>
        <w:ind w:firstLine="420" w:firstLineChars="200"/>
        <w:jc w:val="left"/>
        <w:rPr>
          <w:rFonts w:hint="default" w:ascii="宋体" w:hAnsi="宋体" w:cs="宋体"/>
          <w:kern w:val="0"/>
          <w:szCs w:val="21"/>
          <w:lang w:val="en-US" w:eastAsia="zh-CN"/>
        </w:rPr>
      </w:pPr>
      <w:r>
        <w:rPr>
          <w:rFonts w:hint="eastAsia" w:ascii="宋体" w:hAnsi="宋体" w:cs="宋体"/>
          <w:kern w:val="0"/>
          <w:szCs w:val="21"/>
          <w:lang w:val="en-US" w:eastAsia="zh-CN"/>
        </w:rPr>
        <w:t>指按照国家知识产权局《专利预审业务管理办法（试行）》、《规范申请专利行为的规定（2023）》（国家知识产权局令第77号）要求，有意愿代理在保护中心完成备案的申请主体提供专利代理服务的专利代理机构进行管理，包括代理机构注册登记和代理机构资格管理。</w:t>
      </w:r>
    </w:p>
    <w:p w14:paraId="283DE379">
      <w:pPr>
        <w:widowControl/>
        <w:numPr>
          <w:ilvl w:val="0"/>
          <w:numId w:val="0"/>
        </w:numPr>
        <w:spacing w:line="360" w:lineRule="auto"/>
        <w:ind w:firstLine="420" w:firstLineChars="200"/>
        <w:jc w:val="left"/>
        <w:rPr>
          <w:rFonts w:hint="eastAsia" w:ascii="宋体" w:hAnsi="宋体" w:cs="宋体"/>
          <w:kern w:val="0"/>
          <w:szCs w:val="21"/>
          <w:lang w:val="en-US" w:eastAsia="zh-CN"/>
        </w:rPr>
      </w:pPr>
      <w:r>
        <w:rPr>
          <w:rFonts w:hint="eastAsia" w:ascii="宋体" w:hAnsi="宋体" w:cs="宋体"/>
          <w:kern w:val="0"/>
          <w:szCs w:val="21"/>
          <w:lang w:val="en-US" w:eastAsia="zh-CN"/>
        </w:rPr>
        <w:t>（四）8案件预审阶段。</w:t>
      </w:r>
    </w:p>
    <w:p w14:paraId="5F257C3F">
      <w:pPr>
        <w:widowControl/>
        <w:numPr>
          <w:ilvl w:val="0"/>
          <w:numId w:val="0"/>
        </w:numPr>
        <w:spacing w:line="360" w:lineRule="auto"/>
        <w:ind w:firstLine="420" w:firstLineChars="200"/>
        <w:jc w:val="left"/>
        <w:rPr>
          <w:rFonts w:hint="eastAsia" w:ascii="黑体" w:hAnsi="宋体" w:eastAsia="黑体"/>
          <w:kern w:val="0"/>
          <w:szCs w:val="21"/>
          <w:lang w:val="en-US" w:eastAsia="zh-CN"/>
        </w:rPr>
      </w:pPr>
      <w:r>
        <w:rPr>
          <w:rFonts w:hint="eastAsia" w:ascii="宋体" w:hAnsi="宋体" w:cs="宋体"/>
          <w:kern w:val="0"/>
          <w:szCs w:val="21"/>
          <w:lang w:val="en-US" w:eastAsia="zh-CN"/>
        </w:rPr>
        <w:t>按照国家知识产权局《专利预审业务管理办法（试行）》要求，保护中心在接收预审请求后对专利申请开展预审审查，预审查过程包括技术领域核查、非正常申请核查、形式问题审查、实质性缺陷审查、案件互检、案件质检及出具预审意见。</w:t>
      </w:r>
    </w:p>
    <w:p w14:paraId="52BF63CB">
      <w:pPr>
        <w:widowControl/>
        <w:numPr>
          <w:ilvl w:val="0"/>
          <w:numId w:val="0"/>
        </w:numPr>
        <w:spacing w:line="360" w:lineRule="auto"/>
        <w:ind w:firstLine="420" w:firstLineChars="200"/>
        <w:jc w:val="left"/>
        <w:rPr>
          <w:rFonts w:hint="eastAsia" w:ascii="宋体" w:hAnsi="宋体" w:cs="宋体"/>
          <w:kern w:val="0"/>
          <w:szCs w:val="21"/>
          <w:lang w:val="en-US" w:eastAsia="zh-CN"/>
        </w:rPr>
      </w:pPr>
      <w:r>
        <w:rPr>
          <w:rFonts w:hint="eastAsia" w:ascii="宋体" w:hAnsi="宋体" w:cs="宋体"/>
          <w:kern w:val="0"/>
          <w:szCs w:val="21"/>
          <w:lang w:val="en-US" w:eastAsia="zh-CN"/>
        </w:rPr>
        <w:t>（五）9案件复核阶段。</w:t>
      </w:r>
    </w:p>
    <w:p w14:paraId="261E25C9">
      <w:pPr>
        <w:widowControl/>
        <w:numPr>
          <w:ilvl w:val="0"/>
          <w:numId w:val="0"/>
        </w:numPr>
        <w:spacing w:line="360" w:lineRule="auto"/>
        <w:ind w:firstLine="420" w:firstLineChars="200"/>
        <w:jc w:val="left"/>
        <w:rPr>
          <w:rFonts w:hint="default" w:ascii="黑体" w:hAnsi="宋体" w:eastAsia="黑体"/>
          <w:kern w:val="0"/>
          <w:szCs w:val="21"/>
          <w:lang w:val="en-US" w:eastAsia="zh-CN"/>
        </w:rPr>
      </w:pPr>
      <w:r>
        <w:rPr>
          <w:rFonts w:hint="eastAsia" w:ascii="宋体" w:hAnsi="宋体" w:cs="宋体"/>
          <w:kern w:val="0"/>
          <w:szCs w:val="21"/>
          <w:lang w:val="en-US" w:eastAsia="zh-CN"/>
        </w:rPr>
        <w:t>按照国家知识产权局《专利预审业务管理办法（试行）》要求，在专利预审请求合格后，专利申请人须向国家知识产权局提交正式专利申请后，在规定时间内向保护中心回传缴费凭证及申请号，预审人员通过指定系统对相关情况进行核实，无误后，对该专利文件添加加快标记。这里结合长春市知识产权保护中心平时的实际工作情况给出了申请主体所要提交的材料、缴纳的费用和预审员在收到申请主体提交的文件的一致性确认等内容。</w:t>
      </w:r>
    </w:p>
    <w:p w14:paraId="724DF7AB">
      <w:pPr>
        <w:widowControl/>
        <w:numPr>
          <w:ilvl w:val="0"/>
          <w:numId w:val="0"/>
        </w:numPr>
        <w:spacing w:line="360" w:lineRule="auto"/>
        <w:ind w:firstLine="420" w:firstLineChars="0"/>
        <w:jc w:val="left"/>
        <w:rPr>
          <w:rFonts w:hint="eastAsia" w:ascii="黑体" w:hAnsi="宋体" w:eastAsia="黑体"/>
          <w:kern w:val="0"/>
          <w:szCs w:val="21"/>
          <w:lang w:val="en-US" w:eastAsia="zh-CN"/>
        </w:rPr>
      </w:pPr>
      <w:r>
        <w:rPr>
          <w:rFonts w:hint="eastAsia" w:ascii="黑体" w:hAnsi="宋体" w:eastAsia="黑体"/>
          <w:kern w:val="0"/>
          <w:szCs w:val="21"/>
          <w:lang w:val="en-US" w:eastAsia="zh-CN"/>
        </w:rPr>
        <w:t>六、重大分歧意见的处理依据和结果</w:t>
      </w:r>
    </w:p>
    <w:p w14:paraId="75E8B850">
      <w:pPr>
        <w:widowControl/>
        <w:spacing w:line="360" w:lineRule="auto"/>
        <w:ind w:firstLine="420" w:firstLineChars="200"/>
        <w:jc w:val="left"/>
        <w:rPr>
          <w:rFonts w:hint="eastAsia" w:ascii="黑体" w:hAnsi="宋体" w:eastAsia="黑体"/>
          <w:kern w:val="0"/>
          <w:szCs w:val="21"/>
          <w:lang w:val="en-US" w:eastAsia="zh-CN"/>
        </w:rPr>
      </w:pPr>
      <w:r>
        <w:rPr>
          <w:rFonts w:hint="eastAsia" w:cs="Times New Roman" w:asciiTheme="minorEastAsia" w:hAnsiTheme="minorEastAsia"/>
          <w:kern w:val="0"/>
          <w:szCs w:val="21"/>
        </w:rPr>
        <w:t>标准起草过程中，未出现重大分歧意见。</w:t>
      </w:r>
    </w:p>
    <w:p w14:paraId="76617F9F">
      <w:pPr>
        <w:widowControl/>
        <w:numPr>
          <w:ilvl w:val="0"/>
          <w:numId w:val="0"/>
        </w:numPr>
        <w:spacing w:line="360" w:lineRule="auto"/>
        <w:ind w:firstLine="420" w:firstLineChars="200"/>
        <w:jc w:val="left"/>
        <w:rPr>
          <w:rFonts w:hint="eastAsia" w:ascii="黑体" w:hAnsi="宋体" w:eastAsia="黑体"/>
          <w:kern w:val="0"/>
          <w:szCs w:val="21"/>
          <w:lang w:eastAsia="zh-CN"/>
        </w:rPr>
      </w:pPr>
      <w:r>
        <w:rPr>
          <w:rFonts w:hint="eastAsia" w:ascii="黑体" w:hAnsi="宋体" w:eastAsia="黑体"/>
          <w:kern w:val="0"/>
          <w:szCs w:val="21"/>
          <w:lang w:eastAsia="zh-CN"/>
        </w:rPr>
        <w:t>七、采用国际标准或国外先进标准的，说明采标程度，以及国内外同类标准水平的对比情况</w:t>
      </w:r>
    </w:p>
    <w:p w14:paraId="17DE4DD1">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（一）标准起草过程中未</w:t>
      </w:r>
      <w:r>
        <w:rPr>
          <w:rFonts w:hint="eastAsia" w:ascii="宋体" w:hAnsi="宋体" w:cs="宋体"/>
          <w:kern w:val="0"/>
          <w:szCs w:val="21"/>
          <w:lang w:val="en-US" w:eastAsia="zh-CN"/>
        </w:rPr>
        <w:t>采用</w:t>
      </w:r>
      <w:r>
        <w:rPr>
          <w:rFonts w:hint="eastAsia" w:ascii="宋体" w:hAnsi="宋体" w:cs="宋体"/>
          <w:kern w:val="0"/>
          <w:szCs w:val="21"/>
        </w:rPr>
        <w:t>相关国际标准</w:t>
      </w:r>
      <w:r>
        <w:rPr>
          <w:rFonts w:hint="eastAsia" w:ascii="宋体" w:hAnsi="宋体" w:cs="宋体"/>
          <w:kern w:val="0"/>
          <w:szCs w:val="21"/>
          <w:lang w:val="en-US" w:eastAsia="zh-CN"/>
        </w:rPr>
        <w:t>和</w:t>
      </w:r>
      <w:r>
        <w:rPr>
          <w:rFonts w:hint="eastAsia" w:ascii="宋体" w:hAnsi="宋体" w:cs="宋体"/>
          <w:kern w:val="0"/>
          <w:szCs w:val="21"/>
        </w:rPr>
        <w:t>国外先进标准。</w:t>
      </w:r>
    </w:p>
    <w:p w14:paraId="372FD07A">
      <w:pPr>
        <w:widowControl/>
        <w:spacing w:line="360" w:lineRule="auto"/>
        <w:ind w:firstLine="420" w:firstLineChars="200"/>
        <w:jc w:val="left"/>
        <w:rPr>
          <w:rFonts w:hint="eastAsia" w:ascii="宋体" w:hAnsi="宋体" w:cs="宋体"/>
          <w:kern w:val="0"/>
          <w:szCs w:val="21"/>
        </w:rPr>
      </w:pPr>
      <w:r>
        <w:rPr>
          <w:rFonts w:hint="eastAsia" w:ascii="宋体" w:hAnsi="宋体" w:cs="宋体"/>
          <w:kern w:val="0"/>
          <w:szCs w:val="21"/>
        </w:rPr>
        <w:t>（二）与国内同类标准水平的对比情况。</w:t>
      </w:r>
    </w:p>
    <w:p w14:paraId="2FE2D781">
      <w:pPr>
        <w:widowControl/>
        <w:spacing w:line="360" w:lineRule="auto"/>
        <w:ind w:firstLine="420" w:firstLineChars="200"/>
        <w:jc w:val="left"/>
        <w:rPr>
          <w:rFonts w:hint="eastAsia" w:ascii="宋体" w:hAnsi="宋体" w:cs="宋体"/>
          <w:kern w:val="0"/>
          <w:szCs w:val="21"/>
          <w:lang w:val="en-US" w:eastAsia="zh-CN"/>
        </w:rPr>
      </w:pPr>
      <w:r>
        <w:rPr>
          <w:rFonts w:hint="eastAsia" w:ascii="宋体" w:hAnsi="宋体" w:cs="宋体"/>
          <w:kern w:val="0"/>
          <w:szCs w:val="21"/>
          <w:lang w:val="en-US" w:eastAsia="zh-CN"/>
        </w:rPr>
        <w:t>1、与江苏省地方标准DB32/T 4157-2021《专利申请预审规范》对比情况：</w:t>
      </w:r>
    </w:p>
    <w:p w14:paraId="201EB6FF">
      <w:pPr>
        <w:widowControl/>
        <w:spacing w:line="360" w:lineRule="auto"/>
        <w:ind w:firstLine="420" w:firstLineChars="200"/>
        <w:jc w:val="left"/>
        <w:rPr>
          <w:rFonts w:hint="eastAsia" w:ascii="宋体" w:hAnsi="宋体" w:cs="宋体"/>
          <w:kern w:val="0"/>
          <w:szCs w:val="21"/>
          <w:lang w:val="en-US" w:eastAsia="zh-CN"/>
        </w:rPr>
      </w:pPr>
      <w:r>
        <w:rPr>
          <w:rFonts w:hint="eastAsia" w:ascii="宋体" w:hAnsi="宋体" w:cs="宋体"/>
          <w:kern w:val="0"/>
          <w:szCs w:val="21"/>
          <w:lang w:val="en-US" w:eastAsia="zh-CN"/>
        </w:rPr>
        <w:t>两个标准的标准化对象都为“专利申请预审”。不同之处在于：尽管江苏省地方标准贯穿预审业务整个流程，但是该标准对备案主体及代理机构部分不规范行为缺乏针对性管理措施。本标准文件根据预审业务开展过程中出现不规范问题，结合具体影响情况，对备案主体及代理机构给出了相应的额“采取提醒、暂停预审业务、取消备案资格”等具体的管理办法。</w:t>
      </w:r>
    </w:p>
    <w:p w14:paraId="1CB90F5E">
      <w:pPr>
        <w:widowControl/>
        <w:numPr>
          <w:ilvl w:val="0"/>
          <w:numId w:val="4"/>
        </w:numPr>
        <w:spacing w:line="360" w:lineRule="auto"/>
        <w:ind w:firstLine="420" w:firstLineChars="200"/>
        <w:jc w:val="left"/>
        <w:rPr>
          <w:rFonts w:hint="eastAsia" w:ascii="宋体" w:hAnsi="宋体" w:cs="宋体"/>
          <w:kern w:val="0"/>
          <w:szCs w:val="21"/>
          <w:lang w:val="en-US" w:eastAsia="zh-CN"/>
        </w:rPr>
      </w:pPr>
      <w:r>
        <w:rPr>
          <w:rFonts w:hint="eastAsia" w:ascii="宋体" w:hAnsi="宋体" w:cs="宋体"/>
          <w:kern w:val="0"/>
          <w:szCs w:val="21"/>
          <w:lang w:val="en-US" w:eastAsia="zh-CN"/>
        </w:rPr>
        <w:t>与沈阳市地方标准DB2101/T 0058-2022《专利申请预审规范》对比情况：</w:t>
      </w:r>
    </w:p>
    <w:p w14:paraId="4D25389C">
      <w:pPr>
        <w:widowControl/>
        <w:numPr>
          <w:ilvl w:val="0"/>
          <w:numId w:val="0"/>
        </w:numPr>
        <w:spacing w:line="360" w:lineRule="auto"/>
        <w:ind w:firstLine="420" w:firstLineChars="200"/>
        <w:jc w:val="left"/>
        <w:rPr>
          <w:rFonts w:hint="default" w:ascii="宋体" w:hAnsi="宋体" w:cs="宋体"/>
          <w:kern w:val="0"/>
          <w:szCs w:val="21"/>
          <w:lang w:val="en-US" w:eastAsia="zh-CN"/>
        </w:rPr>
      </w:pPr>
      <w:r>
        <w:rPr>
          <w:rFonts w:hint="eastAsia" w:ascii="宋体" w:hAnsi="宋体" w:cs="宋体"/>
          <w:kern w:val="0"/>
          <w:szCs w:val="21"/>
          <w:lang w:val="en-US" w:eastAsia="zh-CN"/>
        </w:rPr>
        <w:t>两个标准的标准化对象也都是“专利申请预审”。但是沈阳市的地方标准主要是对预审各项服务进行阐释说明，对自身预审服务质量缺乏标准阐述。而本标准文件注重预审质量，通过设置“案件互检”、“案件质量”、“质量保障”等标准，强化了专利申请的预审质量。</w:t>
      </w:r>
    </w:p>
    <w:p w14:paraId="593EF14A">
      <w:pPr>
        <w:widowControl/>
        <w:numPr>
          <w:ilvl w:val="0"/>
          <w:numId w:val="5"/>
        </w:numPr>
        <w:spacing w:line="360" w:lineRule="auto"/>
        <w:ind w:firstLine="420" w:firstLineChars="200"/>
        <w:jc w:val="left"/>
        <w:rPr>
          <w:rFonts w:hint="eastAsia" w:ascii="黑体" w:hAnsi="宋体" w:eastAsia="黑体"/>
          <w:kern w:val="0"/>
          <w:szCs w:val="21"/>
          <w:lang w:eastAsia="zh-CN"/>
        </w:rPr>
      </w:pPr>
      <w:r>
        <w:rPr>
          <w:rFonts w:hint="eastAsia" w:ascii="黑体" w:hAnsi="宋体" w:eastAsia="黑体"/>
          <w:kern w:val="0"/>
          <w:szCs w:val="21"/>
          <w:lang w:eastAsia="zh-CN"/>
        </w:rPr>
        <w:t xml:space="preserve">贯彻标准的措施建议 </w:t>
      </w:r>
    </w:p>
    <w:p w14:paraId="7ADBA08B">
      <w:pPr>
        <w:widowControl/>
        <w:numPr>
          <w:ilvl w:val="0"/>
          <w:numId w:val="0"/>
        </w:numPr>
        <w:spacing w:line="360" w:lineRule="auto"/>
        <w:ind w:firstLine="420" w:firstLineChars="200"/>
        <w:jc w:val="left"/>
        <w:rPr>
          <w:rFonts w:hint="eastAsia" w:ascii="Times New Roman" w:hAnsi="Times New Roman" w:eastAsia="宋体" w:cs="Times New Roman"/>
          <w:bCs/>
          <w:szCs w:val="21"/>
        </w:rPr>
      </w:pPr>
      <w:r>
        <w:rPr>
          <w:rFonts w:hint="eastAsia" w:ascii="Times New Roman" w:hAnsi="Times New Roman" w:eastAsia="宋体" w:cs="Times New Roman"/>
          <w:bCs/>
          <w:color w:val="auto"/>
          <w:szCs w:val="21"/>
        </w:rPr>
        <w:t>将对标准的执行情况作为年度绩效考核的重要内容，保障标准的各</w:t>
      </w:r>
      <w:r>
        <w:rPr>
          <w:rFonts w:hint="eastAsia" w:ascii="Times New Roman" w:hAnsi="Times New Roman" w:eastAsia="宋体" w:cs="Times New Roman"/>
          <w:bCs/>
          <w:szCs w:val="21"/>
        </w:rPr>
        <w:t>项要求得到有效贯彻执行。通过对标准内容开展宣讲</w:t>
      </w:r>
      <w:r>
        <w:rPr>
          <w:rFonts w:hint="eastAsia" w:ascii="Times New Roman" w:hAnsi="Times New Roman" w:eastAsia="宋体" w:cs="Times New Roman"/>
          <w:bCs/>
          <w:szCs w:val="21"/>
          <w:lang w:eastAsia="zh-CN"/>
        </w:rPr>
        <w:t>，培训和调研活动</w:t>
      </w:r>
      <w:r>
        <w:rPr>
          <w:rFonts w:hint="eastAsia" w:ascii="Times New Roman" w:hAnsi="Times New Roman" w:eastAsia="宋体" w:cs="Times New Roman"/>
          <w:bCs/>
          <w:szCs w:val="21"/>
          <w:lang w:val="en-US" w:eastAsia="zh-CN"/>
        </w:rPr>
        <w:t>及</w:t>
      </w:r>
      <w:r>
        <w:rPr>
          <w:rFonts w:hint="eastAsia" w:ascii="Times New Roman" w:hAnsi="Times New Roman" w:eastAsia="宋体" w:cs="Times New Roman"/>
          <w:bCs/>
          <w:szCs w:val="21"/>
        </w:rPr>
        <w:t>组织专家进行专项解读指导等形式，</w:t>
      </w:r>
      <w:r>
        <w:rPr>
          <w:rFonts w:hint="eastAsia" w:ascii="Times New Roman" w:hAnsi="Times New Roman" w:eastAsia="宋体" w:cs="Times New Roman"/>
          <w:bCs/>
          <w:szCs w:val="21"/>
          <w:lang w:eastAsia="zh-CN"/>
        </w:rPr>
        <w:t>提升创新主体知识产权意识和专利实务</w:t>
      </w:r>
      <w:r>
        <w:rPr>
          <w:rFonts w:hint="eastAsia" w:ascii="Times New Roman" w:hAnsi="Times New Roman" w:eastAsia="宋体" w:cs="Times New Roman"/>
          <w:bCs/>
          <w:szCs w:val="21"/>
          <w:lang w:val="en-US" w:eastAsia="zh-CN"/>
        </w:rPr>
        <w:t>业务</w:t>
      </w:r>
      <w:r>
        <w:rPr>
          <w:rFonts w:hint="eastAsia" w:ascii="Times New Roman" w:hAnsi="Times New Roman" w:eastAsia="宋体" w:cs="Times New Roman"/>
          <w:bCs/>
          <w:szCs w:val="21"/>
          <w:lang w:eastAsia="zh-CN"/>
        </w:rPr>
        <w:t>能力，</w:t>
      </w:r>
      <w:r>
        <w:rPr>
          <w:rFonts w:hint="eastAsia" w:ascii="Times New Roman" w:hAnsi="Times New Roman" w:eastAsia="宋体" w:cs="Times New Roman"/>
          <w:bCs/>
          <w:szCs w:val="21"/>
          <w:lang w:val="en-US" w:eastAsia="zh-CN"/>
        </w:rPr>
        <w:t>从而</w:t>
      </w:r>
      <w:r>
        <w:rPr>
          <w:rFonts w:hint="eastAsia" w:ascii="Times New Roman" w:hAnsi="Times New Roman" w:eastAsia="宋体" w:cs="Times New Roman"/>
          <w:bCs/>
          <w:szCs w:val="21"/>
        </w:rPr>
        <w:t>发挥标准提升、规范业务工作的作用，进一步提升专利申请预审规范工作</w:t>
      </w:r>
      <w:r>
        <w:rPr>
          <w:rFonts w:hint="eastAsia" w:ascii="Times New Roman" w:hAnsi="Times New Roman" w:eastAsia="宋体" w:cs="Times New Roman"/>
          <w:bCs/>
          <w:szCs w:val="21"/>
          <w:lang w:val="en-US" w:eastAsia="zh-CN"/>
        </w:rPr>
        <w:t>的</w:t>
      </w:r>
      <w:r>
        <w:rPr>
          <w:rFonts w:hint="eastAsia" w:ascii="Times New Roman" w:hAnsi="Times New Roman" w:eastAsia="宋体" w:cs="Times New Roman"/>
          <w:bCs/>
          <w:szCs w:val="21"/>
        </w:rPr>
        <w:t>质效。</w:t>
      </w:r>
    </w:p>
    <w:p w14:paraId="3D252B12">
      <w:pPr>
        <w:widowControl/>
        <w:numPr>
          <w:ilvl w:val="0"/>
          <w:numId w:val="0"/>
        </w:numPr>
        <w:spacing w:line="360" w:lineRule="auto"/>
        <w:ind w:firstLine="420" w:firstLineChars="200"/>
        <w:jc w:val="left"/>
        <w:rPr>
          <w:rFonts w:hint="eastAsia" w:ascii="黑体" w:hAnsi="宋体" w:eastAsia="黑体"/>
          <w:kern w:val="0"/>
          <w:szCs w:val="21"/>
          <w:lang w:eastAsia="zh-CN"/>
        </w:rPr>
      </w:pPr>
      <w:r>
        <w:rPr>
          <w:rFonts w:hint="eastAsia" w:ascii="黑体" w:hAnsi="宋体" w:eastAsia="黑体"/>
          <w:kern w:val="0"/>
          <w:szCs w:val="21"/>
          <w:lang w:eastAsia="zh-CN"/>
        </w:rPr>
        <w:t>九、社会效益分析</w:t>
      </w:r>
    </w:p>
    <w:p w14:paraId="52176F35">
      <w:pPr>
        <w:widowControl/>
        <w:numPr>
          <w:ilvl w:val="0"/>
          <w:numId w:val="0"/>
        </w:numPr>
        <w:spacing w:line="360" w:lineRule="auto"/>
        <w:ind w:firstLine="420" w:firstLineChars="200"/>
        <w:jc w:val="left"/>
        <w:rPr>
          <w:rFonts w:hint="default" w:ascii="黑体" w:hAnsi="宋体" w:eastAsia="黑体"/>
          <w:kern w:val="0"/>
          <w:szCs w:val="21"/>
          <w:lang w:val="en-US" w:eastAsia="zh-CN"/>
        </w:rPr>
      </w:pPr>
      <w:r>
        <w:rPr>
          <w:rFonts w:hint="eastAsia" w:ascii="Times New Roman" w:hAnsi="Times New Roman" w:cs="Times New Roman"/>
          <w:lang w:val="en-US" w:eastAsia="zh-CN"/>
        </w:rPr>
        <w:t>通过建立完善专利申请预审规范，将会提升我市专利预审服务工作效率，帮助我市创新主体创新专利成果，对加快知识产权强市建设起到不可估量的作用。该标准的发布实施将会进一步强化长春市专利申请预审工作在知识产权“快保护”中的引领和保障作用，对于推动全市专利申请预审业务健康有序发展，提高知识产权公共服务效能，打造知识产权保护强市具有重要意义。</w:t>
      </w:r>
    </w:p>
    <w:p w14:paraId="5406A4C1">
      <w:pPr>
        <w:widowControl/>
        <w:numPr>
          <w:ilvl w:val="0"/>
          <w:numId w:val="6"/>
        </w:numPr>
        <w:spacing w:line="360" w:lineRule="auto"/>
        <w:ind w:firstLine="420" w:firstLineChars="200"/>
        <w:jc w:val="left"/>
        <w:rPr>
          <w:rFonts w:hint="eastAsia" w:ascii="黑体" w:hAnsi="宋体" w:eastAsia="黑体"/>
          <w:kern w:val="0"/>
          <w:szCs w:val="21"/>
          <w:lang w:eastAsia="zh-CN"/>
        </w:rPr>
      </w:pPr>
      <w:r>
        <w:rPr>
          <w:rFonts w:hint="eastAsia" w:ascii="黑体" w:hAnsi="宋体" w:eastAsia="黑体"/>
          <w:kern w:val="0"/>
          <w:szCs w:val="21"/>
          <w:lang w:eastAsia="zh-CN"/>
        </w:rPr>
        <w:t>参考文献及其他需要说明的事项</w:t>
      </w:r>
    </w:p>
    <w:p w14:paraId="01C83A85">
      <w:pPr>
        <w:widowControl/>
        <w:numPr>
          <w:ilvl w:val="0"/>
          <w:numId w:val="0"/>
        </w:numPr>
        <w:spacing w:line="360" w:lineRule="auto"/>
        <w:ind w:firstLine="420" w:firstLineChars="200"/>
        <w:jc w:val="left"/>
        <w:rPr>
          <w:rFonts w:hint="eastAsia" w:ascii="黑体" w:hAnsi="宋体" w:eastAsia="黑体"/>
          <w:kern w:val="0"/>
          <w:szCs w:val="21"/>
          <w:lang w:eastAsia="zh-CN"/>
        </w:rPr>
      </w:pPr>
      <w:r>
        <w:rPr>
          <w:rFonts w:hint="eastAsia" w:ascii="Times New Roman" w:hAnsi="Times New Roman" w:cs="Times New Roman"/>
          <w:lang w:val="en-US" w:eastAsia="zh-CN"/>
        </w:rPr>
        <w:t>无。</w:t>
      </w:r>
    </w:p>
    <w:p w14:paraId="07B60357">
      <w:pPr>
        <w:widowControl/>
        <w:numPr>
          <w:ilvl w:val="0"/>
          <w:numId w:val="0"/>
        </w:numPr>
        <w:spacing w:line="360" w:lineRule="auto"/>
        <w:jc w:val="right"/>
        <w:rPr>
          <w:rFonts w:hint="eastAsia" w:ascii="黑体" w:hAnsi="宋体" w:eastAsia="黑体"/>
          <w:kern w:val="0"/>
          <w:szCs w:val="21"/>
          <w:lang w:eastAsia="zh-CN"/>
        </w:rPr>
      </w:pPr>
    </w:p>
    <w:p w14:paraId="6FDAF7B4">
      <w:pPr>
        <w:widowControl/>
        <w:numPr>
          <w:ilvl w:val="0"/>
          <w:numId w:val="0"/>
        </w:numPr>
        <w:spacing w:line="360" w:lineRule="auto"/>
        <w:jc w:val="right"/>
        <w:rPr>
          <w:rFonts w:hint="eastAsia" w:ascii="黑体" w:hAnsi="宋体" w:eastAsia="黑体"/>
          <w:kern w:val="0"/>
          <w:szCs w:val="21"/>
          <w:lang w:eastAsia="zh-CN"/>
        </w:rPr>
      </w:pPr>
      <w:r>
        <w:rPr>
          <w:rFonts w:hint="eastAsia" w:ascii="黑体" w:hAnsi="宋体" w:eastAsia="黑体"/>
          <w:kern w:val="0"/>
          <w:szCs w:val="21"/>
          <w:lang w:eastAsia="zh-CN"/>
        </w:rPr>
        <w:t>《</w:t>
      </w:r>
      <w:r>
        <w:rPr>
          <w:rFonts w:hint="eastAsia" w:ascii="黑体" w:hAnsi="宋体" w:eastAsia="黑体"/>
          <w:kern w:val="0"/>
          <w:szCs w:val="21"/>
          <w:lang w:val="en-US" w:eastAsia="zh-CN"/>
        </w:rPr>
        <w:t>专利申请预审规范</w:t>
      </w:r>
      <w:r>
        <w:rPr>
          <w:rFonts w:hint="eastAsia" w:ascii="黑体" w:hAnsi="宋体" w:eastAsia="黑体"/>
          <w:kern w:val="0"/>
          <w:szCs w:val="21"/>
          <w:lang w:eastAsia="zh-CN"/>
        </w:rPr>
        <w:t>》标准起草组</w:t>
      </w:r>
    </w:p>
    <w:sectPr>
      <w:headerReference r:id="rId3" w:type="default"/>
      <w:footerReference r:id="rId4" w:type="default"/>
      <w:pgSz w:w="11906" w:h="16838"/>
      <w:pgMar w:top="1440" w:right="1416" w:bottom="1440" w:left="156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DE48BC">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F7E5BDE">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F7E5BDE">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E6EA1F">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52C9CB1"/>
    <w:multiLevelType w:val="singleLevel"/>
    <w:tmpl w:val="C52C9CB1"/>
    <w:lvl w:ilvl="0" w:tentative="0">
      <w:start w:val="5"/>
      <w:numFmt w:val="chineseCounting"/>
      <w:suff w:val="nothing"/>
      <w:lvlText w:val="%1、"/>
      <w:lvlJc w:val="left"/>
      <w:rPr>
        <w:rFonts w:hint="eastAsia"/>
      </w:rPr>
    </w:lvl>
  </w:abstractNum>
  <w:abstractNum w:abstractNumId="1">
    <w:nsid w:val="DE7E32BE"/>
    <w:multiLevelType w:val="singleLevel"/>
    <w:tmpl w:val="DE7E32BE"/>
    <w:lvl w:ilvl="0" w:tentative="0">
      <w:start w:val="8"/>
      <w:numFmt w:val="chineseCounting"/>
      <w:suff w:val="nothing"/>
      <w:lvlText w:val="%1、"/>
      <w:lvlJc w:val="left"/>
      <w:rPr>
        <w:rFonts w:hint="eastAsia"/>
      </w:rPr>
    </w:lvl>
  </w:abstractNum>
  <w:abstractNum w:abstractNumId="2">
    <w:nsid w:val="DFAD8D26"/>
    <w:multiLevelType w:val="singleLevel"/>
    <w:tmpl w:val="DFAD8D26"/>
    <w:lvl w:ilvl="0" w:tentative="0">
      <w:start w:val="10"/>
      <w:numFmt w:val="chineseCounting"/>
      <w:suff w:val="nothing"/>
      <w:lvlText w:val="%1、"/>
      <w:lvlJc w:val="left"/>
      <w:rPr>
        <w:rFonts w:hint="eastAsia"/>
      </w:rPr>
    </w:lvl>
  </w:abstractNum>
  <w:abstractNum w:abstractNumId="3">
    <w:nsid w:val="2CBC59F7"/>
    <w:multiLevelType w:val="singleLevel"/>
    <w:tmpl w:val="2CBC59F7"/>
    <w:lvl w:ilvl="0" w:tentative="0">
      <w:start w:val="4"/>
      <w:numFmt w:val="chineseCounting"/>
      <w:suff w:val="nothing"/>
      <w:lvlText w:val="（%1）"/>
      <w:lvlJc w:val="left"/>
      <w:rPr>
        <w:rFonts w:hint="eastAsia"/>
      </w:rPr>
    </w:lvl>
  </w:abstractNum>
  <w:abstractNum w:abstractNumId="4">
    <w:nsid w:val="3950604A"/>
    <w:multiLevelType w:val="singleLevel"/>
    <w:tmpl w:val="3950604A"/>
    <w:lvl w:ilvl="0" w:tentative="0">
      <w:start w:val="3"/>
      <w:numFmt w:val="decimal"/>
      <w:lvlText w:val="%1."/>
      <w:lvlJc w:val="left"/>
      <w:pPr>
        <w:tabs>
          <w:tab w:val="left" w:pos="312"/>
        </w:tabs>
      </w:pPr>
    </w:lvl>
  </w:abstractNum>
  <w:abstractNum w:abstractNumId="5">
    <w:nsid w:val="3A52B09F"/>
    <w:multiLevelType w:val="singleLevel"/>
    <w:tmpl w:val="3A52B09F"/>
    <w:lvl w:ilvl="0" w:tentative="0">
      <w:start w:val="2"/>
      <w:numFmt w:val="decimal"/>
      <w:lvlText w:val="%1."/>
      <w:lvlJc w:val="left"/>
      <w:pPr>
        <w:tabs>
          <w:tab w:val="left" w:pos="312"/>
        </w:tabs>
      </w:pPr>
    </w:lvl>
  </w:abstractNum>
  <w:num w:numId="1">
    <w:abstractNumId w:val="3"/>
  </w:num>
  <w:num w:numId="2">
    <w:abstractNumId w:val="4"/>
  </w:num>
  <w:num w:numId="3">
    <w:abstractNumId w:val="0"/>
  </w:num>
  <w:num w:numId="4">
    <w:abstractNumId w:val="5"/>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zNjBkOTgyNWQ1YTMxYzM3MzMwNWFiODNmOWIzYWMifQ=="/>
  </w:docVars>
  <w:rsids>
    <w:rsidRoot w:val="00CB5287"/>
    <w:rsid w:val="001F3ADA"/>
    <w:rsid w:val="00322DE0"/>
    <w:rsid w:val="00323D90"/>
    <w:rsid w:val="00372273"/>
    <w:rsid w:val="003773BB"/>
    <w:rsid w:val="005C61A2"/>
    <w:rsid w:val="00643BE3"/>
    <w:rsid w:val="007402CA"/>
    <w:rsid w:val="007C38EB"/>
    <w:rsid w:val="007E79DC"/>
    <w:rsid w:val="008F2029"/>
    <w:rsid w:val="009059DD"/>
    <w:rsid w:val="009F3E4D"/>
    <w:rsid w:val="00A53304"/>
    <w:rsid w:val="00AA21F6"/>
    <w:rsid w:val="00B34A19"/>
    <w:rsid w:val="00B550A9"/>
    <w:rsid w:val="00B92CD9"/>
    <w:rsid w:val="00BD5EC6"/>
    <w:rsid w:val="00C910DE"/>
    <w:rsid w:val="00C96BD2"/>
    <w:rsid w:val="00CB5287"/>
    <w:rsid w:val="00DF621E"/>
    <w:rsid w:val="00E9560D"/>
    <w:rsid w:val="00EA07C2"/>
    <w:rsid w:val="00F14359"/>
    <w:rsid w:val="00F2286B"/>
    <w:rsid w:val="00FC1711"/>
    <w:rsid w:val="010A05D7"/>
    <w:rsid w:val="011B0B5F"/>
    <w:rsid w:val="01806304"/>
    <w:rsid w:val="01822C25"/>
    <w:rsid w:val="01AF71F2"/>
    <w:rsid w:val="01CA34C6"/>
    <w:rsid w:val="0212029D"/>
    <w:rsid w:val="022D6704"/>
    <w:rsid w:val="02811B02"/>
    <w:rsid w:val="029A6645"/>
    <w:rsid w:val="02A01B49"/>
    <w:rsid w:val="02F715F9"/>
    <w:rsid w:val="03305FFE"/>
    <w:rsid w:val="033311CF"/>
    <w:rsid w:val="036E63E7"/>
    <w:rsid w:val="039842CF"/>
    <w:rsid w:val="03B142B0"/>
    <w:rsid w:val="03D27C98"/>
    <w:rsid w:val="03DC42EC"/>
    <w:rsid w:val="03E56DE9"/>
    <w:rsid w:val="03E84175"/>
    <w:rsid w:val="04010759"/>
    <w:rsid w:val="04071B3C"/>
    <w:rsid w:val="04094404"/>
    <w:rsid w:val="04102B14"/>
    <w:rsid w:val="04164730"/>
    <w:rsid w:val="04256795"/>
    <w:rsid w:val="044F404C"/>
    <w:rsid w:val="045E51F6"/>
    <w:rsid w:val="047A595E"/>
    <w:rsid w:val="04894DE5"/>
    <w:rsid w:val="049150FD"/>
    <w:rsid w:val="04985121"/>
    <w:rsid w:val="04B769D7"/>
    <w:rsid w:val="04DD2306"/>
    <w:rsid w:val="04FC4E94"/>
    <w:rsid w:val="05237407"/>
    <w:rsid w:val="055D632B"/>
    <w:rsid w:val="05827D99"/>
    <w:rsid w:val="059F74A8"/>
    <w:rsid w:val="05B61055"/>
    <w:rsid w:val="05F82176"/>
    <w:rsid w:val="060C6E9E"/>
    <w:rsid w:val="06145FEB"/>
    <w:rsid w:val="062421B0"/>
    <w:rsid w:val="06393A45"/>
    <w:rsid w:val="06664F79"/>
    <w:rsid w:val="0680580B"/>
    <w:rsid w:val="069715C5"/>
    <w:rsid w:val="069D7E4F"/>
    <w:rsid w:val="06E4422D"/>
    <w:rsid w:val="06E85121"/>
    <w:rsid w:val="06EA69FB"/>
    <w:rsid w:val="06EE6C1E"/>
    <w:rsid w:val="071A0CC5"/>
    <w:rsid w:val="07467975"/>
    <w:rsid w:val="07886BEA"/>
    <w:rsid w:val="07CA07CF"/>
    <w:rsid w:val="07DA3499"/>
    <w:rsid w:val="07F973E7"/>
    <w:rsid w:val="082B15AE"/>
    <w:rsid w:val="0835113E"/>
    <w:rsid w:val="08494A08"/>
    <w:rsid w:val="08764248"/>
    <w:rsid w:val="08B164BC"/>
    <w:rsid w:val="08DE362B"/>
    <w:rsid w:val="08FB60DB"/>
    <w:rsid w:val="090C4E18"/>
    <w:rsid w:val="0925408D"/>
    <w:rsid w:val="0978391B"/>
    <w:rsid w:val="098F7083"/>
    <w:rsid w:val="099D1D95"/>
    <w:rsid w:val="09A45050"/>
    <w:rsid w:val="09CF2327"/>
    <w:rsid w:val="09D7200E"/>
    <w:rsid w:val="09EE7A29"/>
    <w:rsid w:val="09F62136"/>
    <w:rsid w:val="0A1B3F06"/>
    <w:rsid w:val="0A1D006A"/>
    <w:rsid w:val="0A2D08A1"/>
    <w:rsid w:val="0A3A6456"/>
    <w:rsid w:val="0A4F1460"/>
    <w:rsid w:val="0A7334D0"/>
    <w:rsid w:val="0A794463"/>
    <w:rsid w:val="0AA74589"/>
    <w:rsid w:val="0AAA276D"/>
    <w:rsid w:val="0AD32880"/>
    <w:rsid w:val="0AD33E3F"/>
    <w:rsid w:val="0AE0655C"/>
    <w:rsid w:val="0AF56886"/>
    <w:rsid w:val="0AFD6B28"/>
    <w:rsid w:val="0B043FF8"/>
    <w:rsid w:val="0B1E54CC"/>
    <w:rsid w:val="0B401235"/>
    <w:rsid w:val="0B404830"/>
    <w:rsid w:val="0B581AFA"/>
    <w:rsid w:val="0B616C31"/>
    <w:rsid w:val="0B7373D0"/>
    <w:rsid w:val="0BA13505"/>
    <w:rsid w:val="0BB91287"/>
    <w:rsid w:val="0BCE35BA"/>
    <w:rsid w:val="0BE30CB2"/>
    <w:rsid w:val="0BF12EBF"/>
    <w:rsid w:val="0C081E94"/>
    <w:rsid w:val="0C1A42B5"/>
    <w:rsid w:val="0C2063E9"/>
    <w:rsid w:val="0C642D7A"/>
    <w:rsid w:val="0C660589"/>
    <w:rsid w:val="0C6D3D66"/>
    <w:rsid w:val="0C780401"/>
    <w:rsid w:val="0C7E51AE"/>
    <w:rsid w:val="0C866C20"/>
    <w:rsid w:val="0CAA2578"/>
    <w:rsid w:val="0CAB67FA"/>
    <w:rsid w:val="0CB07FAE"/>
    <w:rsid w:val="0D035021"/>
    <w:rsid w:val="0D035E3B"/>
    <w:rsid w:val="0D0A4BCE"/>
    <w:rsid w:val="0D2E7A52"/>
    <w:rsid w:val="0D374B59"/>
    <w:rsid w:val="0D50441C"/>
    <w:rsid w:val="0D84530B"/>
    <w:rsid w:val="0D9773A6"/>
    <w:rsid w:val="0DAD5CD4"/>
    <w:rsid w:val="0DB417A0"/>
    <w:rsid w:val="0DC10093"/>
    <w:rsid w:val="0DC671FA"/>
    <w:rsid w:val="0DCB52A1"/>
    <w:rsid w:val="0DF963A9"/>
    <w:rsid w:val="0E0A3CC3"/>
    <w:rsid w:val="0E475979"/>
    <w:rsid w:val="0E4B7A4E"/>
    <w:rsid w:val="0E5E0CBD"/>
    <w:rsid w:val="0E6135B5"/>
    <w:rsid w:val="0E6B5E16"/>
    <w:rsid w:val="0E6D17E6"/>
    <w:rsid w:val="0E706B3D"/>
    <w:rsid w:val="0EA93C69"/>
    <w:rsid w:val="0EAC60CA"/>
    <w:rsid w:val="0EAD0E5C"/>
    <w:rsid w:val="0EDD528C"/>
    <w:rsid w:val="0EF417FD"/>
    <w:rsid w:val="0F103144"/>
    <w:rsid w:val="0F2B5795"/>
    <w:rsid w:val="0F2D3AE9"/>
    <w:rsid w:val="0F501F02"/>
    <w:rsid w:val="0F505435"/>
    <w:rsid w:val="0F9D0C58"/>
    <w:rsid w:val="0F9F6ED4"/>
    <w:rsid w:val="0FAB3042"/>
    <w:rsid w:val="0FB21AC5"/>
    <w:rsid w:val="0FC01B7E"/>
    <w:rsid w:val="0FEF3DF5"/>
    <w:rsid w:val="0FF2050E"/>
    <w:rsid w:val="102F0D1A"/>
    <w:rsid w:val="10313EFD"/>
    <w:rsid w:val="10401F77"/>
    <w:rsid w:val="10703EDE"/>
    <w:rsid w:val="10725009"/>
    <w:rsid w:val="108C6F6A"/>
    <w:rsid w:val="10D33DA9"/>
    <w:rsid w:val="10D533D4"/>
    <w:rsid w:val="10F058D7"/>
    <w:rsid w:val="10FE14EA"/>
    <w:rsid w:val="111C3654"/>
    <w:rsid w:val="11334986"/>
    <w:rsid w:val="11347858"/>
    <w:rsid w:val="115049F7"/>
    <w:rsid w:val="11595DC7"/>
    <w:rsid w:val="115C304B"/>
    <w:rsid w:val="11A46EDC"/>
    <w:rsid w:val="11BD0139"/>
    <w:rsid w:val="11C90744"/>
    <w:rsid w:val="11DD55A3"/>
    <w:rsid w:val="11DF0AB6"/>
    <w:rsid w:val="120B4D30"/>
    <w:rsid w:val="120C4DAA"/>
    <w:rsid w:val="12152F8F"/>
    <w:rsid w:val="122043CA"/>
    <w:rsid w:val="1222751A"/>
    <w:rsid w:val="12280E57"/>
    <w:rsid w:val="12443874"/>
    <w:rsid w:val="124C21F3"/>
    <w:rsid w:val="1253288A"/>
    <w:rsid w:val="12892176"/>
    <w:rsid w:val="129F384A"/>
    <w:rsid w:val="12BD7226"/>
    <w:rsid w:val="12EF3D16"/>
    <w:rsid w:val="12FC278E"/>
    <w:rsid w:val="131F2634"/>
    <w:rsid w:val="132316DC"/>
    <w:rsid w:val="132C0590"/>
    <w:rsid w:val="13345697"/>
    <w:rsid w:val="13391B58"/>
    <w:rsid w:val="137D0DEC"/>
    <w:rsid w:val="138F28CD"/>
    <w:rsid w:val="13B90366"/>
    <w:rsid w:val="13D33102"/>
    <w:rsid w:val="14123C2A"/>
    <w:rsid w:val="141C4682"/>
    <w:rsid w:val="14331CB2"/>
    <w:rsid w:val="143E0191"/>
    <w:rsid w:val="149D55D6"/>
    <w:rsid w:val="14A6659D"/>
    <w:rsid w:val="14A746EE"/>
    <w:rsid w:val="14DA401C"/>
    <w:rsid w:val="14EE354E"/>
    <w:rsid w:val="14F257AF"/>
    <w:rsid w:val="151C6B9B"/>
    <w:rsid w:val="153B0F5F"/>
    <w:rsid w:val="153B36A1"/>
    <w:rsid w:val="154C1D27"/>
    <w:rsid w:val="155F7720"/>
    <w:rsid w:val="156D1FEF"/>
    <w:rsid w:val="157C5C7A"/>
    <w:rsid w:val="15896142"/>
    <w:rsid w:val="15897F1C"/>
    <w:rsid w:val="15A22F98"/>
    <w:rsid w:val="15AA7201"/>
    <w:rsid w:val="15B07D5A"/>
    <w:rsid w:val="15B827AF"/>
    <w:rsid w:val="15CC1ED6"/>
    <w:rsid w:val="15CD7D54"/>
    <w:rsid w:val="15E9057E"/>
    <w:rsid w:val="15F630D7"/>
    <w:rsid w:val="16013F56"/>
    <w:rsid w:val="16020B26"/>
    <w:rsid w:val="163346AC"/>
    <w:rsid w:val="16475272"/>
    <w:rsid w:val="16666D3D"/>
    <w:rsid w:val="16774218"/>
    <w:rsid w:val="168C3C15"/>
    <w:rsid w:val="1693406C"/>
    <w:rsid w:val="16A669DF"/>
    <w:rsid w:val="16B339B7"/>
    <w:rsid w:val="16E52A1C"/>
    <w:rsid w:val="16F10DB0"/>
    <w:rsid w:val="16FF3188"/>
    <w:rsid w:val="17953714"/>
    <w:rsid w:val="17C32329"/>
    <w:rsid w:val="17E219BD"/>
    <w:rsid w:val="17E27173"/>
    <w:rsid w:val="17EF7DDE"/>
    <w:rsid w:val="17F263D4"/>
    <w:rsid w:val="180169EF"/>
    <w:rsid w:val="1804507C"/>
    <w:rsid w:val="181677A0"/>
    <w:rsid w:val="18270E2D"/>
    <w:rsid w:val="182B2782"/>
    <w:rsid w:val="184D7C20"/>
    <w:rsid w:val="18840564"/>
    <w:rsid w:val="18C5032B"/>
    <w:rsid w:val="18F002B2"/>
    <w:rsid w:val="18FE065A"/>
    <w:rsid w:val="19187605"/>
    <w:rsid w:val="1920676E"/>
    <w:rsid w:val="192D0BBE"/>
    <w:rsid w:val="1944632F"/>
    <w:rsid w:val="19613133"/>
    <w:rsid w:val="196B5CE1"/>
    <w:rsid w:val="19852AC6"/>
    <w:rsid w:val="198554C5"/>
    <w:rsid w:val="198D0D8F"/>
    <w:rsid w:val="199E386A"/>
    <w:rsid w:val="19BC75E7"/>
    <w:rsid w:val="1A1A5AAF"/>
    <w:rsid w:val="1A2F64A6"/>
    <w:rsid w:val="1A5511A6"/>
    <w:rsid w:val="1A6F5529"/>
    <w:rsid w:val="1A713292"/>
    <w:rsid w:val="1A8567D8"/>
    <w:rsid w:val="1A9D0917"/>
    <w:rsid w:val="1AB45B2F"/>
    <w:rsid w:val="1ADF5B23"/>
    <w:rsid w:val="1AEB5EED"/>
    <w:rsid w:val="1AFA0F74"/>
    <w:rsid w:val="1AFD2B54"/>
    <w:rsid w:val="1AFD4C35"/>
    <w:rsid w:val="1B0F40F3"/>
    <w:rsid w:val="1B102545"/>
    <w:rsid w:val="1B80662C"/>
    <w:rsid w:val="1B881622"/>
    <w:rsid w:val="1BA64C58"/>
    <w:rsid w:val="1C1A3669"/>
    <w:rsid w:val="1C7913E9"/>
    <w:rsid w:val="1CAB3B14"/>
    <w:rsid w:val="1CE36152"/>
    <w:rsid w:val="1D4E6BA1"/>
    <w:rsid w:val="1D504C92"/>
    <w:rsid w:val="1D5068AA"/>
    <w:rsid w:val="1D635E3B"/>
    <w:rsid w:val="1DA63635"/>
    <w:rsid w:val="1DA84CB7"/>
    <w:rsid w:val="1DF33648"/>
    <w:rsid w:val="1E0565AE"/>
    <w:rsid w:val="1E254FBE"/>
    <w:rsid w:val="1E310498"/>
    <w:rsid w:val="1E8C282B"/>
    <w:rsid w:val="1E936367"/>
    <w:rsid w:val="1EB4590B"/>
    <w:rsid w:val="1ED37EE5"/>
    <w:rsid w:val="1EED17B9"/>
    <w:rsid w:val="1EF000DF"/>
    <w:rsid w:val="1F02577F"/>
    <w:rsid w:val="1F106802"/>
    <w:rsid w:val="1F3658DF"/>
    <w:rsid w:val="1F44517E"/>
    <w:rsid w:val="1F4E188E"/>
    <w:rsid w:val="1F5D02E8"/>
    <w:rsid w:val="1F615887"/>
    <w:rsid w:val="1F757BD5"/>
    <w:rsid w:val="1F7A08D5"/>
    <w:rsid w:val="1FA1495B"/>
    <w:rsid w:val="1FA6332E"/>
    <w:rsid w:val="1FB16B1C"/>
    <w:rsid w:val="1FBF0AEA"/>
    <w:rsid w:val="1FC8318D"/>
    <w:rsid w:val="1FDC333E"/>
    <w:rsid w:val="1FF01E2E"/>
    <w:rsid w:val="1FF5643F"/>
    <w:rsid w:val="200A093E"/>
    <w:rsid w:val="200F101E"/>
    <w:rsid w:val="201900EE"/>
    <w:rsid w:val="20264CEF"/>
    <w:rsid w:val="204E0674"/>
    <w:rsid w:val="20507A75"/>
    <w:rsid w:val="207061D9"/>
    <w:rsid w:val="2082110E"/>
    <w:rsid w:val="208A0FEC"/>
    <w:rsid w:val="20A11517"/>
    <w:rsid w:val="20B8547A"/>
    <w:rsid w:val="20BF0C87"/>
    <w:rsid w:val="20EA1A41"/>
    <w:rsid w:val="211B39F2"/>
    <w:rsid w:val="212D2614"/>
    <w:rsid w:val="212E45FE"/>
    <w:rsid w:val="21393EFB"/>
    <w:rsid w:val="2149055F"/>
    <w:rsid w:val="216B03EA"/>
    <w:rsid w:val="21924322"/>
    <w:rsid w:val="21993CAD"/>
    <w:rsid w:val="21B657DB"/>
    <w:rsid w:val="21BA145D"/>
    <w:rsid w:val="21D7200F"/>
    <w:rsid w:val="21D95D87"/>
    <w:rsid w:val="21DD24DA"/>
    <w:rsid w:val="21E15D79"/>
    <w:rsid w:val="21EB0819"/>
    <w:rsid w:val="22012957"/>
    <w:rsid w:val="22230DB0"/>
    <w:rsid w:val="22311102"/>
    <w:rsid w:val="22637957"/>
    <w:rsid w:val="2281444C"/>
    <w:rsid w:val="2297354C"/>
    <w:rsid w:val="229F1F0C"/>
    <w:rsid w:val="22C24A14"/>
    <w:rsid w:val="22C8586B"/>
    <w:rsid w:val="22E120B5"/>
    <w:rsid w:val="22F8048F"/>
    <w:rsid w:val="23151041"/>
    <w:rsid w:val="232C6642"/>
    <w:rsid w:val="232E6462"/>
    <w:rsid w:val="233872BC"/>
    <w:rsid w:val="233A1C5E"/>
    <w:rsid w:val="234813CA"/>
    <w:rsid w:val="23826BAF"/>
    <w:rsid w:val="23C455B7"/>
    <w:rsid w:val="23D8007C"/>
    <w:rsid w:val="23F45F4A"/>
    <w:rsid w:val="242D5F16"/>
    <w:rsid w:val="244129C6"/>
    <w:rsid w:val="24423AB2"/>
    <w:rsid w:val="249B1B7C"/>
    <w:rsid w:val="249E5066"/>
    <w:rsid w:val="24C30629"/>
    <w:rsid w:val="24DC25D2"/>
    <w:rsid w:val="24F40000"/>
    <w:rsid w:val="24FF74FF"/>
    <w:rsid w:val="25040DEE"/>
    <w:rsid w:val="2524677D"/>
    <w:rsid w:val="255A6C57"/>
    <w:rsid w:val="256E453C"/>
    <w:rsid w:val="25707A8C"/>
    <w:rsid w:val="259B6E06"/>
    <w:rsid w:val="259C1A22"/>
    <w:rsid w:val="25B7376D"/>
    <w:rsid w:val="25D178F2"/>
    <w:rsid w:val="25D32D3D"/>
    <w:rsid w:val="25DD571A"/>
    <w:rsid w:val="25EA0C12"/>
    <w:rsid w:val="25ED1AB3"/>
    <w:rsid w:val="26094AAC"/>
    <w:rsid w:val="260E7FC9"/>
    <w:rsid w:val="2653352D"/>
    <w:rsid w:val="265C69B1"/>
    <w:rsid w:val="26655E3B"/>
    <w:rsid w:val="267C4F33"/>
    <w:rsid w:val="26912D90"/>
    <w:rsid w:val="269C0568"/>
    <w:rsid w:val="26B3489F"/>
    <w:rsid w:val="26BF3F9F"/>
    <w:rsid w:val="26D23C48"/>
    <w:rsid w:val="26D52A14"/>
    <w:rsid w:val="26DE0FD1"/>
    <w:rsid w:val="26DF5940"/>
    <w:rsid w:val="26E26D62"/>
    <w:rsid w:val="26FE2E54"/>
    <w:rsid w:val="2713606C"/>
    <w:rsid w:val="273E043A"/>
    <w:rsid w:val="27490680"/>
    <w:rsid w:val="282B6C11"/>
    <w:rsid w:val="284321AC"/>
    <w:rsid w:val="288144B5"/>
    <w:rsid w:val="2892519F"/>
    <w:rsid w:val="28BA5737"/>
    <w:rsid w:val="28C23BA2"/>
    <w:rsid w:val="28C3509B"/>
    <w:rsid w:val="28FB0E79"/>
    <w:rsid w:val="29150E8C"/>
    <w:rsid w:val="291D6813"/>
    <w:rsid w:val="293010E4"/>
    <w:rsid w:val="298B2CCF"/>
    <w:rsid w:val="29A749BD"/>
    <w:rsid w:val="29B079EE"/>
    <w:rsid w:val="29CE31C5"/>
    <w:rsid w:val="29F74A66"/>
    <w:rsid w:val="29F86FC6"/>
    <w:rsid w:val="2A34041B"/>
    <w:rsid w:val="2A594EE2"/>
    <w:rsid w:val="2A6D5490"/>
    <w:rsid w:val="2A783C63"/>
    <w:rsid w:val="2A7C1186"/>
    <w:rsid w:val="2AC451DE"/>
    <w:rsid w:val="2AFA0E11"/>
    <w:rsid w:val="2B3E6155"/>
    <w:rsid w:val="2B664E01"/>
    <w:rsid w:val="2B684D40"/>
    <w:rsid w:val="2B724194"/>
    <w:rsid w:val="2BC05357"/>
    <w:rsid w:val="2BD4136D"/>
    <w:rsid w:val="2BD61589"/>
    <w:rsid w:val="2BF423F0"/>
    <w:rsid w:val="2BF97534"/>
    <w:rsid w:val="2C330CA4"/>
    <w:rsid w:val="2C491D5B"/>
    <w:rsid w:val="2C550700"/>
    <w:rsid w:val="2C7C4AF9"/>
    <w:rsid w:val="2C8965FC"/>
    <w:rsid w:val="2C8F5D12"/>
    <w:rsid w:val="2CA12446"/>
    <w:rsid w:val="2CB05936"/>
    <w:rsid w:val="2CD8217A"/>
    <w:rsid w:val="2CE51BE6"/>
    <w:rsid w:val="2CE75135"/>
    <w:rsid w:val="2CEC4DA2"/>
    <w:rsid w:val="2CF60749"/>
    <w:rsid w:val="2CFD666F"/>
    <w:rsid w:val="2D0568E8"/>
    <w:rsid w:val="2D0C2DA0"/>
    <w:rsid w:val="2D2105E2"/>
    <w:rsid w:val="2D3B3021"/>
    <w:rsid w:val="2D45020C"/>
    <w:rsid w:val="2D870D8D"/>
    <w:rsid w:val="2D88240F"/>
    <w:rsid w:val="2D8E1EC6"/>
    <w:rsid w:val="2D990460"/>
    <w:rsid w:val="2D996708"/>
    <w:rsid w:val="2DB522C6"/>
    <w:rsid w:val="2DB87198"/>
    <w:rsid w:val="2DCF66CE"/>
    <w:rsid w:val="2E085926"/>
    <w:rsid w:val="2E174B78"/>
    <w:rsid w:val="2E562B83"/>
    <w:rsid w:val="2E6433AC"/>
    <w:rsid w:val="2E8B0B3E"/>
    <w:rsid w:val="2E9115A6"/>
    <w:rsid w:val="2EA04021"/>
    <w:rsid w:val="2EA15E7F"/>
    <w:rsid w:val="2EE7773F"/>
    <w:rsid w:val="2EE903D5"/>
    <w:rsid w:val="2EF54E99"/>
    <w:rsid w:val="2F161656"/>
    <w:rsid w:val="2F183080"/>
    <w:rsid w:val="2F2F0FA3"/>
    <w:rsid w:val="2F403C76"/>
    <w:rsid w:val="2F413C94"/>
    <w:rsid w:val="2F7202F7"/>
    <w:rsid w:val="2F7F67D3"/>
    <w:rsid w:val="2FA4301B"/>
    <w:rsid w:val="2FA84FEB"/>
    <w:rsid w:val="2FB266CD"/>
    <w:rsid w:val="2FBD0A96"/>
    <w:rsid w:val="2FC930DD"/>
    <w:rsid w:val="2FE24C8D"/>
    <w:rsid w:val="2FEF61EE"/>
    <w:rsid w:val="2FF16992"/>
    <w:rsid w:val="2FFA4C4B"/>
    <w:rsid w:val="2FFD014C"/>
    <w:rsid w:val="300F50C7"/>
    <w:rsid w:val="30154B66"/>
    <w:rsid w:val="303A1CAD"/>
    <w:rsid w:val="305A4537"/>
    <w:rsid w:val="30605171"/>
    <w:rsid w:val="308710A4"/>
    <w:rsid w:val="309E4912"/>
    <w:rsid w:val="30A86F32"/>
    <w:rsid w:val="30CE4C3E"/>
    <w:rsid w:val="30DB6604"/>
    <w:rsid w:val="30ED4F12"/>
    <w:rsid w:val="30FB55BA"/>
    <w:rsid w:val="30FE2FD1"/>
    <w:rsid w:val="310B0EEB"/>
    <w:rsid w:val="31116290"/>
    <w:rsid w:val="31222185"/>
    <w:rsid w:val="312A2724"/>
    <w:rsid w:val="314153A5"/>
    <w:rsid w:val="31626D84"/>
    <w:rsid w:val="3180028D"/>
    <w:rsid w:val="31A35A6A"/>
    <w:rsid w:val="31AF4E31"/>
    <w:rsid w:val="31B700B7"/>
    <w:rsid w:val="31D15247"/>
    <w:rsid w:val="31D5758E"/>
    <w:rsid w:val="31ED2632"/>
    <w:rsid w:val="31ED4F37"/>
    <w:rsid w:val="3201033C"/>
    <w:rsid w:val="32065B28"/>
    <w:rsid w:val="320C19C6"/>
    <w:rsid w:val="32116E77"/>
    <w:rsid w:val="32221ECD"/>
    <w:rsid w:val="322944EF"/>
    <w:rsid w:val="32306A7A"/>
    <w:rsid w:val="32417033"/>
    <w:rsid w:val="324727A2"/>
    <w:rsid w:val="324F79A0"/>
    <w:rsid w:val="325610A4"/>
    <w:rsid w:val="3281224F"/>
    <w:rsid w:val="328B211C"/>
    <w:rsid w:val="32D0234D"/>
    <w:rsid w:val="330A46EC"/>
    <w:rsid w:val="331704C1"/>
    <w:rsid w:val="338957BD"/>
    <w:rsid w:val="339443D1"/>
    <w:rsid w:val="33AB6E58"/>
    <w:rsid w:val="33AD0E22"/>
    <w:rsid w:val="33CD609D"/>
    <w:rsid w:val="33E7081F"/>
    <w:rsid w:val="33ED1E02"/>
    <w:rsid w:val="33FB1B8D"/>
    <w:rsid w:val="34000F51"/>
    <w:rsid w:val="340E2E10"/>
    <w:rsid w:val="34152EE1"/>
    <w:rsid w:val="34190265"/>
    <w:rsid w:val="34761214"/>
    <w:rsid w:val="34796F56"/>
    <w:rsid w:val="34AD0520"/>
    <w:rsid w:val="34C12770"/>
    <w:rsid w:val="34D0067D"/>
    <w:rsid w:val="34D40C69"/>
    <w:rsid w:val="34D46B38"/>
    <w:rsid w:val="351E429D"/>
    <w:rsid w:val="352011B6"/>
    <w:rsid w:val="35345733"/>
    <w:rsid w:val="3545471E"/>
    <w:rsid w:val="356D5162"/>
    <w:rsid w:val="356F6F06"/>
    <w:rsid w:val="357065AB"/>
    <w:rsid w:val="35795182"/>
    <w:rsid w:val="35AB0FDB"/>
    <w:rsid w:val="35B667C9"/>
    <w:rsid w:val="35C20003"/>
    <w:rsid w:val="35FE0BA4"/>
    <w:rsid w:val="36085990"/>
    <w:rsid w:val="360A1D85"/>
    <w:rsid w:val="36201D7F"/>
    <w:rsid w:val="362551E1"/>
    <w:rsid w:val="36285609"/>
    <w:rsid w:val="362A572F"/>
    <w:rsid w:val="366449F4"/>
    <w:rsid w:val="367549A0"/>
    <w:rsid w:val="36A73899"/>
    <w:rsid w:val="36AE0F4E"/>
    <w:rsid w:val="36B02702"/>
    <w:rsid w:val="36CB3A4F"/>
    <w:rsid w:val="372E5DD5"/>
    <w:rsid w:val="37414F19"/>
    <w:rsid w:val="376B32F9"/>
    <w:rsid w:val="379245B6"/>
    <w:rsid w:val="37AC7BEB"/>
    <w:rsid w:val="37B7226F"/>
    <w:rsid w:val="37D2648A"/>
    <w:rsid w:val="37EA779A"/>
    <w:rsid w:val="38290908"/>
    <w:rsid w:val="3834566E"/>
    <w:rsid w:val="384A58F9"/>
    <w:rsid w:val="386C4B25"/>
    <w:rsid w:val="386F66A6"/>
    <w:rsid w:val="388D46D6"/>
    <w:rsid w:val="38AF7EC0"/>
    <w:rsid w:val="392F7614"/>
    <w:rsid w:val="394877EF"/>
    <w:rsid w:val="395A7356"/>
    <w:rsid w:val="399D4513"/>
    <w:rsid w:val="39BB31CB"/>
    <w:rsid w:val="39CB1805"/>
    <w:rsid w:val="39D02245"/>
    <w:rsid w:val="3A060783"/>
    <w:rsid w:val="3A127C30"/>
    <w:rsid w:val="3A1C5BF2"/>
    <w:rsid w:val="3A447C0B"/>
    <w:rsid w:val="3A756774"/>
    <w:rsid w:val="3A8C1C1D"/>
    <w:rsid w:val="3A96260F"/>
    <w:rsid w:val="3AA835CC"/>
    <w:rsid w:val="3AAA7E69"/>
    <w:rsid w:val="3AB6680E"/>
    <w:rsid w:val="3AB75F57"/>
    <w:rsid w:val="3AC15EC2"/>
    <w:rsid w:val="3AE14CE2"/>
    <w:rsid w:val="3B366CEA"/>
    <w:rsid w:val="3B5C031C"/>
    <w:rsid w:val="3B8E32E7"/>
    <w:rsid w:val="3BAC7A92"/>
    <w:rsid w:val="3BB93588"/>
    <w:rsid w:val="3BE37F90"/>
    <w:rsid w:val="3BEF1A1E"/>
    <w:rsid w:val="3BF07AFD"/>
    <w:rsid w:val="3C4F0CA7"/>
    <w:rsid w:val="3C4F29E6"/>
    <w:rsid w:val="3C7939C7"/>
    <w:rsid w:val="3CA11094"/>
    <w:rsid w:val="3CC57726"/>
    <w:rsid w:val="3CD70204"/>
    <w:rsid w:val="3CDF5CD3"/>
    <w:rsid w:val="3CF32B22"/>
    <w:rsid w:val="3D130974"/>
    <w:rsid w:val="3D2C126C"/>
    <w:rsid w:val="3D3611D5"/>
    <w:rsid w:val="3D581DFE"/>
    <w:rsid w:val="3D58716C"/>
    <w:rsid w:val="3D823703"/>
    <w:rsid w:val="3D8E75CE"/>
    <w:rsid w:val="3D9170BE"/>
    <w:rsid w:val="3D932E36"/>
    <w:rsid w:val="3DAE0351"/>
    <w:rsid w:val="3DBD0052"/>
    <w:rsid w:val="3DBD1FBC"/>
    <w:rsid w:val="3DDB6942"/>
    <w:rsid w:val="3DDC7F66"/>
    <w:rsid w:val="3DE504C2"/>
    <w:rsid w:val="3E145966"/>
    <w:rsid w:val="3E211417"/>
    <w:rsid w:val="3E3554D5"/>
    <w:rsid w:val="3E442CC3"/>
    <w:rsid w:val="3E495BEB"/>
    <w:rsid w:val="3E5654D6"/>
    <w:rsid w:val="3E6B3DB3"/>
    <w:rsid w:val="3E8832A3"/>
    <w:rsid w:val="3EBC094D"/>
    <w:rsid w:val="3F012022"/>
    <w:rsid w:val="3F0B5DE2"/>
    <w:rsid w:val="3F14330B"/>
    <w:rsid w:val="3F2835AC"/>
    <w:rsid w:val="3F487C50"/>
    <w:rsid w:val="3F531AA9"/>
    <w:rsid w:val="3F6077E4"/>
    <w:rsid w:val="3F820A84"/>
    <w:rsid w:val="3F823672"/>
    <w:rsid w:val="3F8C3FE1"/>
    <w:rsid w:val="3FA255B3"/>
    <w:rsid w:val="3FB077A2"/>
    <w:rsid w:val="3FE544C0"/>
    <w:rsid w:val="40263093"/>
    <w:rsid w:val="40273D0A"/>
    <w:rsid w:val="40313BBE"/>
    <w:rsid w:val="40324B88"/>
    <w:rsid w:val="40461865"/>
    <w:rsid w:val="40651AD0"/>
    <w:rsid w:val="40672358"/>
    <w:rsid w:val="40986E8B"/>
    <w:rsid w:val="409B4FDA"/>
    <w:rsid w:val="409E758E"/>
    <w:rsid w:val="40B44837"/>
    <w:rsid w:val="40D05B99"/>
    <w:rsid w:val="40E165AE"/>
    <w:rsid w:val="40F7084E"/>
    <w:rsid w:val="410E172B"/>
    <w:rsid w:val="412E07FF"/>
    <w:rsid w:val="41474664"/>
    <w:rsid w:val="415D3E87"/>
    <w:rsid w:val="419E1C4B"/>
    <w:rsid w:val="41AA67C7"/>
    <w:rsid w:val="41B7165B"/>
    <w:rsid w:val="41D11A5B"/>
    <w:rsid w:val="41F72D16"/>
    <w:rsid w:val="422C50C0"/>
    <w:rsid w:val="42330CA9"/>
    <w:rsid w:val="42383FAC"/>
    <w:rsid w:val="425D3A13"/>
    <w:rsid w:val="42601417"/>
    <w:rsid w:val="426D6F7C"/>
    <w:rsid w:val="426F36AA"/>
    <w:rsid w:val="427803AF"/>
    <w:rsid w:val="42950D1C"/>
    <w:rsid w:val="42AF2116"/>
    <w:rsid w:val="42B378BC"/>
    <w:rsid w:val="42E63C1F"/>
    <w:rsid w:val="43004B7A"/>
    <w:rsid w:val="43280576"/>
    <w:rsid w:val="433B7B90"/>
    <w:rsid w:val="43654F72"/>
    <w:rsid w:val="43750A05"/>
    <w:rsid w:val="437D63FF"/>
    <w:rsid w:val="439240A5"/>
    <w:rsid w:val="439F33FF"/>
    <w:rsid w:val="43C006FD"/>
    <w:rsid w:val="43C71843"/>
    <w:rsid w:val="43F01F04"/>
    <w:rsid w:val="43F50B36"/>
    <w:rsid w:val="445A1933"/>
    <w:rsid w:val="445D1900"/>
    <w:rsid w:val="447B4624"/>
    <w:rsid w:val="447C6AE0"/>
    <w:rsid w:val="4488117E"/>
    <w:rsid w:val="44D33850"/>
    <w:rsid w:val="44D60BE6"/>
    <w:rsid w:val="44DE3756"/>
    <w:rsid w:val="44FE4DD8"/>
    <w:rsid w:val="451A6296"/>
    <w:rsid w:val="453A628D"/>
    <w:rsid w:val="454C0B57"/>
    <w:rsid w:val="456D080B"/>
    <w:rsid w:val="458E35FC"/>
    <w:rsid w:val="45957CF3"/>
    <w:rsid w:val="45A778C3"/>
    <w:rsid w:val="45B918A8"/>
    <w:rsid w:val="45BB5620"/>
    <w:rsid w:val="45BE2A1A"/>
    <w:rsid w:val="45C76287"/>
    <w:rsid w:val="45F922D9"/>
    <w:rsid w:val="46346566"/>
    <w:rsid w:val="463B22BD"/>
    <w:rsid w:val="463E4D14"/>
    <w:rsid w:val="46454957"/>
    <w:rsid w:val="46492012"/>
    <w:rsid w:val="465810C1"/>
    <w:rsid w:val="46680600"/>
    <w:rsid w:val="468F3344"/>
    <w:rsid w:val="469A20ED"/>
    <w:rsid w:val="469B0FAE"/>
    <w:rsid w:val="46B1257F"/>
    <w:rsid w:val="46B34EE9"/>
    <w:rsid w:val="46B35E0E"/>
    <w:rsid w:val="46B65863"/>
    <w:rsid w:val="46F04E55"/>
    <w:rsid w:val="46FC6C26"/>
    <w:rsid w:val="47071753"/>
    <w:rsid w:val="471215FF"/>
    <w:rsid w:val="474045B6"/>
    <w:rsid w:val="47435B44"/>
    <w:rsid w:val="479C078C"/>
    <w:rsid w:val="479F7547"/>
    <w:rsid w:val="47AF19AB"/>
    <w:rsid w:val="47C164B4"/>
    <w:rsid w:val="47D44777"/>
    <w:rsid w:val="47D74267"/>
    <w:rsid w:val="47DA2B3E"/>
    <w:rsid w:val="47DB0772"/>
    <w:rsid w:val="47FB19D6"/>
    <w:rsid w:val="481D292E"/>
    <w:rsid w:val="48385979"/>
    <w:rsid w:val="484A00DB"/>
    <w:rsid w:val="487F660C"/>
    <w:rsid w:val="48BB5197"/>
    <w:rsid w:val="48CA2271"/>
    <w:rsid w:val="48D52555"/>
    <w:rsid w:val="48DC7D87"/>
    <w:rsid w:val="49067EC0"/>
    <w:rsid w:val="49087394"/>
    <w:rsid w:val="491373C6"/>
    <w:rsid w:val="494F27CE"/>
    <w:rsid w:val="49583186"/>
    <w:rsid w:val="4962455A"/>
    <w:rsid w:val="49733352"/>
    <w:rsid w:val="49957F36"/>
    <w:rsid w:val="499C03BF"/>
    <w:rsid w:val="49A11DCC"/>
    <w:rsid w:val="49B5687D"/>
    <w:rsid w:val="49D34EA2"/>
    <w:rsid w:val="49F772E6"/>
    <w:rsid w:val="4A0F5134"/>
    <w:rsid w:val="4A1C41B3"/>
    <w:rsid w:val="4A21012A"/>
    <w:rsid w:val="4A286FFC"/>
    <w:rsid w:val="4A287505"/>
    <w:rsid w:val="4A69564B"/>
    <w:rsid w:val="4A7B5FCB"/>
    <w:rsid w:val="4A937164"/>
    <w:rsid w:val="4A95681B"/>
    <w:rsid w:val="4A9E0843"/>
    <w:rsid w:val="4AAC19DB"/>
    <w:rsid w:val="4AB22658"/>
    <w:rsid w:val="4B042A5E"/>
    <w:rsid w:val="4B090BDC"/>
    <w:rsid w:val="4B0A7646"/>
    <w:rsid w:val="4B1A1A5F"/>
    <w:rsid w:val="4B2C0426"/>
    <w:rsid w:val="4B4A0545"/>
    <w:rsid w:val="4B4D5C36"/>
    <w:rsid w:val="4B5E431F"/>
    <w:rsid w:val="4B5F6CF1"/>
    <w:rsid w:val="4B66453E"/>
    <w:rsid w:val="4B8402DE"/>
    <w:rsid w:val="4B966CE3"/>
    <w:rsid w:val="4BA118D8"/>
    <w:rsid w:val="4BA15E9C"/>
    <w:rsid w:val="4BAD5A0B"/>
    <w:rsid w:val="4BB943B0"/>
    <w:rsid w:val="4BBF207B"/>
    <w:rsid w:val="4BD15B31"/>
    <w:rsid w:val="4BD17687"/>
    <w:rsid w:val="4BD428F9"/>
    <w:rsid w:val="4BF23C29"/>
    <w:rsid w:val="4BF845BE"/>
    <w:rsid w:val="4BF97717"/>
    <w:rsid w:val="4C147838"/>
    <w:rsid w:val="4C1705E5"/>
    <w:rsid w:val="4C2C6AE1"/>
    <w:rsid w:val="4C431ECB"/>
    <w:rsid w:val="4C5740A2"/>
    <w:rsid w:val="4C635091"/>
    <w:rsid w:val="4C7101D7"/>
    <w:rsid w:val="4C752A4F"/>
    <w:rsid w:val="4C81655F"/>
    <w:rsid w:val="4D1B7BD0"/>
    <w:rsid w:val="4D2A3925"/>
    <w:rsid w:val="4D383F40"/>
    <w:rsid w:val="4D544769"/>
    <w:rsid w:val="4D796F0D"/>
    <w:rsid w:val="4D861517"/>
    <w:rsid w:val="4D8F10CB"/>
    <w:rsid w:val="4D961446"/>
    <w:rsid w:val="4D981DA3"/>
    <w:rsid w:val="4DA442A1"/>
    <w:rsid w:val="4DB96F43"/>
    <w:rsid w:val="4DC9154A"/>
    <w:rsid w:val="4DE011C5"/>
    <w:rsid w:val="4DFD68D6"/>
    <w:rsid w:val="4E233E53"/>
    <w:rsid w:val="4E2A2728"/>
    <w:rsid w:val="4E3C3076"/>
    <w:rsid w:val="4E661416"/>
    <w:rsid w:val="4EAA2E54"/>
    <w:rsid w:val="4EC62999"/>
    <w:rsid w:val="4ECB7FBD"/>
    <w:rsid w:val="4F0954AA"/>
    <w:rsid w:val="4F0B663A"/>
    <w:rsid w:val="4F0E4A13"/>
    <w:rsid w:val="4F1F277C"/>
    <w:rsid w:val="4F497874"/>
    <w:rsid w:val="4F824EE9"/>
    <w:rsid w:val="4F9667B6"/>
    <w:rsid w:val="4FAC5BC3"/>
    <w:rsid w:val="4FB70C06"/>
    <w:rsid w:val="4FC6618E"/>
    <w:rsid w:val="4FD05495"/>
    <w:rsid w:val="4FD37D1A"/>
    <w:rsid w:val="4FF8672C"/>
    <w:rsid w:val="50306C0B"/>
    <w:rsid w:val="50377F99"/>
    <w:rsid w:val="505B4FD0"/>
    <w:rsid w:val="507B4962"/>
    <w:rsid w:val="50807247"/>
    <w:rsid w:val="50B11453"/>
    <w:rsid w:val="50CC2A7B"/>
    <w:rsid w:val="50E445E6"/>
    <w:rsid w:val="51053BF3"/>
    <w:rsid w:val="5114223B"/>
    <w:rsid w:val="515D5684"/>
    <w:rsid w:val="51855060"/>
    <w:rsid w:val="51985F8F"/>
    <w:rsid w:val="51A265A5"/>
    <w:rsid w:val="51AB739A"/>
    <w:rsid w:val="51B942B4"/>
    <w:rsid w:val="51D545B7"/>
    <w:rsid w:val="51E63A25"/>
    <w:rsid w:val="51F42AE1"/>
    <w:rsid w:val="520B107A"/>
    <w:rsid w:val="520B222A"/>
    <w:rsid w:val="523014DE"/>
    <w:rsid w:val="524B3888"/>
    <w:rsid w:val="525E18CC"/>
    <w:rsid w:val="527032EE"/>
    <w:rsid w:val="52802D67"/>
    <w:rsid w:val="529F5982"/>
    <w:rsid w:val="52AB4326"/>
    <w:rsid w:val="52EF7C18"/>
    <w:rsid w:val="52F10B40"/>
    <w:rsid w:val="52F453A5"/>
    <w:rsid w:val="52FA6A02"/>
    <w:rsid w:val="530D233E"/>
    <w:rsid w:val="532742F5"/>
    <w:rsid w:val="53323C34"/>
    <w:rsid w:val="533A1E02"/>
    <w:rsid w:val="53471E3E"/>
    <w:rsid w:val="534A4B26"/>
    <w:rsid w:val="534E6BE7"/>
    <w:rsid w:val="53764B67"/>
    <w:rsid w:val="53983F5C"/>
    <w:rsid w:val="53AB3ED4"/>
    <w:rsid w:val="53AB7159"/>
    <w:rsid w:val="53BB757B"/>
    <w:rsid w:val="53BC636D"/>
    <w:rsid w:val="53BF50F3"/>
    <w:rsid w:val="53D44B7C"/>
    <w:rsid w:val="53DA26AF"/>
    <w:rsid w:val="53FD6E04"/>
    <w:rsid w:val="54262FF7"/>
    <w:rsid w:val="542C1497"/>
    <w:rsid w:val="54531EB4"/>
    <w:rsid w:val="546F3FDD"/>
    <w:rsid w:val="5495528E"/>
    <w:rsid w:val="54C1128A"/>
    <w:rsid w:val="553672D1"/>
    <w:rsid w:val="553D7E00"/>
    <w:rsid w:val="554A7CB6"/>
    <w:rsid w:val="555149F5"/>
    <w:rsid w:val="55853555"/>
    <w:rsid w:val="558613F7"/>
    <w:rsid w:val="558F7F2F"/>
    <w:rsid w:val="55AE354A"/>
    <w:rsid w:val="55B53BE0"/>
    <w:rsid w:val="55BB5E32"/>
    <w:rsid w:val="55EE754D"/>
    <w:rsid w:val="5630526E"/>
    <w:rsid w:val="563A232C"/>
    <w:rsid w:val="56497949"/>
    <w:rsid w:val="5653005E"/>
    <w:rsid w:val="56572C3D"/>
    <w:rsid w:val="56682C5A"/>
    <w:rsid w:val="56885FFE"/>
    <w:rsid w:val="56B55774"/>
    <w:rsid w:val="56BD475C"/>
    <w:rsid w:val="56D24578"/>
    <w:rsid w:val="56DA6CB5"/>
    <w:rsid w:val="56DB47B7"/>
    <w:rsid w:val="56E57E9E"/>
    <w:rsid w:val="56FA2D5D"/>
    <w:rsid w:val="570A7AFC"/>
    <w:rsid w:val="57320CB7"/>
    <w:rsid w:val="574354CE"/>
    <w:rsid w:val="574A5644"/>
    <w:rsid w:val="574E134F"/>
    <w:rsid w:val="575925A3"/>
    <w:rsid w:val="57596EEC"/>
    <w:rsid w:val="575D43D7"/>
    <w:rsid w:val="57671BEA"/>
    <w:rsid w:val="578A4F20"/>
    <w:rsid w:val="579F061D"/>
    <w:rsid w:val="57BA7AE2"/>
    <w:rsid w:val="57CD2933"/>
    <w:rsid w:val="57F4288A"/>
    <w:rsid w:val="5802216D"/>
    <w:rsid w:val="582B61E9"/>
    <w:rsid w:val="583223EE"/>
    <w:rsid w:val="58350AC5"/>
    <w:rsid w:val="58871392"/>
    <w:rsid w:val="58937D37"/>
    <w:rsid w:val="58A852B6"/>
    <w:rsid w:val="58D07B51"/>
    <w:rsid w:val="58D72319"/>
    <w:rsid w:val="58D86CAB"/>
    <w:rsid w:val="58DE5E24"/>
    <w:rsid w:val="58E65829"/>
    <w:rsid w:val="58EB718A"/>
    <w:rsid w:val="58FC39DE"/>
    <w:rsid w:val="58FD3402"/>
    <w:rsid w:val="591470C9"/>
    <w:rsid w:val="592A4842"/>
    <w:rsid w:val="59666159"/>
    <w:rsid w:val="59725B9E"/>
    <w:rsid w:val="59A73970"/>
    <w:rsid w:val="59BF3212"/>
    <w:rsid w:val="59BF52FD"/>
    <w:rsid w:val="59E91BF0"/>
    <w:rsid w:val="59E97A70"/>
    <w:rsid w:val="59F6057D"/>
    <w:rsid w:val="59F9485D"/>
    <w:rsid w:val="5A1A5ADF"/>
    <w:rsid w:val="5A403C76"/>
    <w:rsid w:val="5A504131"/>
    <w:rsid w:val="5A787982"/>
    <w:rsid w:val="5A7D2A4C"/>
    <w:rsid w:val="5A872537"/>
    <w:rsid w:val="5ABF328C"/>
    <w:rsid w:val="5AE36AD0"/>
    <w:rsid w:val="5AEA788C"/>
    <w:rsid w:val="5AFD3FAD"/>
    <w:rsid w:val="5B2353A2"/>
    <w:rsid w:val="5B353895"/>
    <w:rsid w:val="5B5365BE"/>
    <w:rsid w:val="5B6B45BC"/>
    <w:rsid w:val="5B78721F"/>
    <w:rsid w:val="5B796AF4"/>
    <w:rsid w:val="5B806913"/>
    <w:rsid w:val="5BB054F9"/>
    <w:rsid w:val="5BEB0CB7"/>
    <w:rsid w:val="5C2C599F"/>
    <w:rsid w:val="5C34586C"/>
    <w:rsid w:val="5C79343A"/>
    <w:rsid w:val="5C9E3CC1"/>
    <w:rsid w:val="5CCE49BD"/>
    <w:rsid w:val="5CDB3A5A"/>
    <w:rsid w:val="5D015BB7"/>
    <w:rsid w:val="5D111C3D"/>
    <w:rsid w:val="5D715164"/>
    <w:rsid w:val="5D8103F2"/>
    <w:rsid w:val="5D830F7D"/>
    <w:rsid w:val="5D881E34"/>
    <w:rsid w:val="5D997B9D"/>
    <w:rsid w:val="5DA930B5"/>
    <w:rsid w:val="5DB6074F"/>
    <w:rsid w:val="5DBF076E"/>
    <w:rsid w:val="5DCB3ACF"/>
    <w:rsid w:val="5DF272AD"/>
    <w:rsid w:val="5E034E6B"/>
    <w:rsid w:val="5E204FE9"/>
    <w:rsid w:val="5E251431"/>
    <w:rsid w:val="5E353D14"/>
    <w:rsid w:val="5E617697"/>
    <w:rsid w:val="5E7C0E8F"/>
    <w:rsid w:val="5E9D2767"/>
    <w:rsid w:val="5EB97F93"/>
    <w:rsid w:val="5EC27ADB"/>
    <w:rsid w:val="5EDD7F15"/>
    <w:rsid w:val="5EE7053E"/>
    <w:rsid w:val="5EF00801"/>
    <w:rsid w:val="5EF52F26"/>
    <w:rsid w:val="5F0977F9"/>
    <w:rsid w:val="5F1968AB"/>
    <w:rsid w:val="5F7F6D97"/>
    <w:rsid w:val="5F944AC0"/>
    <w:rsid w:val="5FDF65DD"/>
    <w:rsid w:val="60521EF5"/>
    <w:rsid w:val="6057032F"/>
    <w:rsid w:val="605A08B7"/>
    <w:rsid w:val="607B251F"/>
    <w:rsid w:val="607D37A6"/>
    <w:rsid w:val="608368E3"/>
    <w:rsid w:val="6093187E"/>
    <w:rsid w:val="60C01235"/>
    <w:rsid w:val="60CF12A4"/>
    <w:rsid w:val="60D26432"/>
    <w:rsid w:val="6110499E"/>
    <w:rsid w:val="611F2A21"/>
    <w:rsid w:val="613552D9"/>
    <w:rsid w:val="61506F60"/>
    <w:rsid w:val="61534507"/>
    <w:rsid w:val="619A0C8A"/>
    <w:rsid w:val="619B5015"/>
    <w:rsid w:val="61C87767"/>
    <w:rsid w:val="61CB0541"/>
    <w:rsid w:val="61DF0C39"/>
    <w:rsid w:val="61F156FA"/>
    <w:rsid w:val="62201173"/>
    <w:rsid w:val="62517262"/>
    <w:rsid w:val="627B71A0"/>
    <w:rsid w:val="62B15BD4"/>
    <w:rsid w:val="62B50DC0"/>
    <w:rsid w:val="62E73159"/>
    <w:rsid w:val="62E77CA1"/>
    <w:rsid w:val="62F34AE7"/>
    <w:rsid w:val="6356208C"/>
    <w:rsid w:val="63617736"/>
    <w:rsid w:val="636B3315"/>
    <w:rsid w:val="6370314E"/>
    <w:rsid w:val="637479F0"/>
    <w:rsid w:val="637F5192"/>
    <w:rsid w:val="63976673"/>
    <w:rsid w:val="63B32720"/>
    <w:rsid w:val="63B70713"/>
    <w:rsid w:val="63C71480"/>
    <w:rsid w:val="63FF2724"/>
    <w:rsid w:val="64104931"/>
    <w:rsid w:val="641D29F8"/>
    <w:rsid w:val="644C69B5"/>
    <w:rsid w:val="64514DA9"/>
    <w:rsid w:val="64642544"/>
    <w:rsid w:val="64835695"/>
    <w:rsid w:val="648F1CFA"/>
    <w:rsid w:val="64913EAD"/>
    <w:rsid w:val="64D84A81"/>
    <w:rsid w:val="64E729D6"/>
    <w:rsid w:val="64F11F74"/>
    <w:rsid w:val="64F41D37"/>
    <w:rsid w:val="64F638DD"/>
    <w:rsid w:val="64F84539"/>
    <w:rsid w:val="651E51F6"/>
    <w:rsid w:val="653D4140"/>
    <w:rsid w:val="655150F7"/>
    <w:rsid w:val="657B3C81"/>
    <w:rsid w:val="65AA2360"/>
    <w:rsid w:val="65D34063"/>
    <w:rsid w:val="65E25E59"/>
    <w:rsid w:val="65F20A51"/>
    <w:rsid w:val="65F466B6"/>
    <w:rsid w:val="66030FAC"/>
    <w:rsid w:val="66074370"/>
    <w:rsid w:val="661857FA"/>
    <w:rsid w:val="661D48DC"/>
    <w:rsid w:val="66491A41"/>
    <w:rsid w:val="664B10E0"/>
    <w:rsid w:val="664D214D"/>
    <w:rsid w:val="66917E5B"/>
    <w:rsid w:val="669B233F"/>
    <w:rsid w:val="669F7264"/>
    <w:rsid w:val="66AB0941"/>
    <w:rsid w:val="66B71A94"/>
    <w:rsid w:val="66B772E6"/>
    <w:rsid w:val="66DC6C43"/>
    <w:rsid w:val="6704161C"/>
    <w:rsid w:val="670B7B2F"/>
    <w:rsid w:val="672030DD"/>
    <w:rsid w:val="67236729"/>
    <w:rsid w:val="67303C58"/>
    <w:rsid w:val="674752DF"/>
    <w:rsid w:val="674F5DC3"/>
    <w:rsid w:val="678B5A44"/>
    <w:rsid w:val="67BF6A43"/>
    <w:rsid w:val="67CB2E45"/>
    <w:rsid w:val="68232E85"/>
    <w:rsid w:val="684C7E6D"/>
    <w:rsid w:val="68531770"/>
    <w:rsid w:val="68AA7872"/>
    <w:rsid w:val="68BA3EF5"/>
    <w:rsid w:val="68BF4C5B"/>
    <w:rsid w:val="68C61A62"/>
    <w:rsid w:val="68DA0A62"/>
    <w:rsid w:val="6905258B"/>
    <w:rsid w:val="69320660"/>
    <w:rsid w:val="693C7DD5"/>
    <w:rsid w:val="693E79FC"/>
    <w:rsid w:val="69634C51"/>
    <w:rsid w:val="69745947"/>
    <w:rsid w:val="69765236"/>
    <w:rsid w:val="69984F2E"/>
    <w:rsid w:val="69BA15C7"/>
    <w:rsid w:val="69C84CD1"/>
    <w:rsid w:val="69CD0D21"/>
    <w:rsid w:val="69E5351F"/>
    <w:rsid w:val="69EA7777"/>
    <w:rsid w:val="69F83FAB"/>
    <w:rsid w:val="6A280542"/>
    <w:rsid w:val="6A2904FB"/>
    <w:rsid w:val="6A32395A"/>
    <w:rsid w:val="6A3F1ACC"/>
    <w:rsid w:val="6A4576E6"/>
    <w:rsid w:val="6A4610AD"/>
    <w:rsid w:val="6A8E0E22"/>
    <w:rsid w:val="6AA673A6"/>
    <w:rsid w:val="6AB16E7F"/>
    <w:rsid w:val="6ABF1B44"/>
    <w:rsid w:val="6AC412B9"/>
    <w:rsid w:val="6AC63F9C"/>
    <w:rsid w:val="6ACE4BFE"/>
    <w:rsid w:val="6ACF2E50"/>
    <w:rsid w:val="6AD42215"/>
    <w:rsid w:val="6ADE1E63"/>
    <w:rsid w:val="6B153859"/>
    <w:rsid w:val="6B334FEF"/>
    <w:rsid w:val="6B3E66B1"/>
    <w:rsid w:val="6B5D5066"/>
    <w:rsid w:val="6BAB7BF6"/>
    <w:rsid w:val="6BCA0707"/>
    <w:rsid w:val="6BE62696"/>
    <w:rsid w:val="6BFA1373"/>
    <w:rsid w:val="6C1256EA"/>
    <w:rsid w:val="6C321490"/>
    <w:rsid w:val="6C4278E3"/>
    <w:rsid w:val="6C817D09"/>
    <w:rsid w:val="6CA7251E"/>
    <w:rsid w:val="6CB4659A"/>
    <w:rsid w:val="6CBA6AD0"/>
    <w:rsid w:val="6CC86BBC"/>
    <w:rsid w:val="6CCE4C05"/>
    <w:rsid w:val="6CD56718"/>
    <w:rsid w:val="6CE84F6D"/>
    <w:rsid w:val="6CED2B2F"/>
    <w:rsid w:val="6CFC3CA5"/>
    <w:rsid w:val="6D11307D"/>
    <w:rsid w:val="6D1E00BF"/>
    <w:rsid w:val="6D2D76F5"/>
    <w:rsid w:val="6D3C0545"/>
    <w:rsid w:val="6D4C69DA"/>
    <w:rsid w:val="6D544AB7"/>
    <w:rsid w:val="6D565641"/>
    <w:rsid w:val="6D8049B5"/>
    <w:rsid w:val="6DB91B96"/>
    <w:rsid w:val="6DCD668B"/>
    <w:rsid w:val="6DE760DC"/>
    <w:rsid w:val="6DFF11A4"/>
    <w:rsid w:val="6E0770A6"/>
    <w:rsid w:val="6E1A2387"/>
    <w:rsid w:val="6E4B1B00"/>
    <w:rsid w:val="6E55366C"/>
    <w:rsid w:val="6E694933"/>
    <w:rsid w:val="6E775E47"/>
    <w:rsid w:val="6E7B6E4B"/>
    <w:rsid w:val="6E937524"/>
    <w:rsid w:val="6EB20ABF"/>
    <w:rsid w:val="6EFF7A7C"/>
    <w:rsid w:val="6F0F4163"/>
    <w:rsid w:val="6F192FC7"/>
    <w:rsid w:val="6F250095"/>
    <w:rsid w:val="6F384F0E"/>
    <w:rsid w:val="6F3F5890"/>
    <w:rsid w:val="6F4B22FC"/>
    <w:rsid w:val="6F5E29F5"/>
    <w:rsid w:val="6F624B4B"/>
    <w:rsid w:val="6F6626C0"/>
    <w:rsid w:val="6F847916"/>
    <w:rsid w:val="6F8721F3"/>
    <w:rsid w:val="6F963166"/>
    <w:rsid w:val="6F984159"/>
    <w:rsid w:val="6FA26D85"/>
    <w:rsid w:val="6FB62831"/>
    <w:rsid w:val="6FB76559"/>
    <w:rsid w:val="6FEE1720"/>
    <w:rsid w:val="701A1560"/>
    <w:rsid w:val="702D5518"/>
    <w:rsid w:val="703D6AAE"/>
    <w:rsid w:val="704A3758"/>
    <w:rsid w:val="707D6949"/>
    <w:rsid w:val="70A1562B"/>
    <w:rsid w:val="70AE12EA"/>
    <w:rsid w:val="70B73356"/>
    <w:rsid w:val="70C6436E"/>
    <w:rsid w:val="70CC0269"/>
    <w:rsid w:val="710816DC"/>
    <w:rsid w:val="710B08E7"/>
    <w:rsid w:val="714A120E"/>
    <w:rsid w:val="715D1B4B"/>
    <w:rsid w:val="716232FA"/>
    <w:rsid w:val="716A0982"/>
    <w:rsid w:val="717B788E"/>
    <w:rsid w:val="71872601"/>
    <w:rsid w:val="71967069"/>
    <w:rsid w:val="71A14E1B"/>
    <w:rsid w:val="71AB5162"/>
    <w:rsid w:val="71AB5C99"/>
    <w:rsid w:val="71C37C96"/>
    <w:rsid w:val="71DE6514"/>
    <w:rsid w:val="71F0237B"/>
    <w:rsid w:val="72193DBF"/>
    <w:rsid w:val="72452BA9"/>
    <w:rsid w:val="724626D4"/>
    <w:rsid w:val="724A569E"/>
    <w:rsid w:val="72577249"/>
    <w:rsid w:val="726727E8"/>
    <w:rsid w:val="727367B7"/>
    <w:rsid w:val="727453D2"/>
    <w:rsid w:val="72800ED4"/>
    <w:rsid w:val="7294672D"/>
    <w:rsid w:val="72A17381"/>
    <w:rsid w:val="72C34258"/>
    <w:rsid w:val="72DD478B"/>
    <w:rsid w:val="72DF3E4C"/>
    <w:rsid w:val="72F02E3D"/>
    <w:rsid w:val="730C20CE"/>
    <w:rsid w:val="73317711"/>
    <w:rsid w:val="733B3E48"/>
    <w:rsid w:val="73556743"/>
    <w:rsid w:val="738E7D5C"/>
    <w:rsid w:val="739469A9"/>
    <w:rsid w:val="73C24FB1"/>
    <w:rsid w:val="73D370C4"/>
    <w:rsid w:val="73E62FB9"/>
    <w:rsid w:val="73ED4F91"/>
    <w:rsid w:val="74003C5F"/>
    <w:rsid w:val="74120EA1"/>
    <w:rsid w:val="74162FC3"/>
    <w:rsid w:val="742F4960"/>
    <w:rsid w:val="74500BDA"/>
    <w:rsid w:val="74530527"/>
    <w:rsid w:val="74533FBD"/>
    <w:rsid w:val="74535528"/>
    <w:rsid w:val="74791FD5"/>
    <w:rsid w:val="748D5F5E"/>
    <w:rsid w:val="749828EA"/>
    <w:rsid w:val="74992B59"/>
    <w:rsid w:val="74C51996"/>
    <w:rsid w:val="74C9318F"/>
    <w:rsid w:val="74F10FE9"/>
    <w:rsid w:val="74F86B26"/>
    <w:rsid w:val="75177295"/>
    <w:rsid w:val="753366D1"/>
    <w:rsid w:val="754D59CB"/>
    <w:rsid w:val="75660BF6"/>
    <w:rsid w:val="75745438"/>
    <w:rsid w:val="75947170"/>
    <w:rsid w:val="75B93CBB"/>
    <w:rsid w:val="75D93652"/>
    <w:rsid w:val="75E17C82"/>
    <w:rsid w:val="75E7607E"/>
    <w:rsid w:val="75F2660E"/>
    <w:rsid w:val="760C31AA"/>
    <w:rsid w:val="761E61EB"/>
    <w:rsid w:val="763133D2"/>
    <w:rsid w:val="76571525"/>
    <w:rsid w:val="76626CD9"/>
    <w:rsid w:val="768014A2"/>
    <w:rsid w:val="76874903"/>
    <w:rsid w:val="76931A1A"/>
    <w:rsid w:val="770944F7"/>
    <w:rsid w:val="7733029F"/>
    <w:rsid w:val="7734249D"/>
    <w:rsid w:val="77437B0E"/>
    <w:rsid w:val="77470212"/>
    <w:rsid w:val="775C0683"/>
    <w:rsid w:val="775C0DCB"/>
    <w:rsid w:val="776F6DFF"/>
    <w:rsid w:val="7790413F"/>
    <w:rsid w:val="779C055E"/>
    <w:rsid w:val="779C59BA"/>
    <w:rsid w:val="77BC067A"/>
    <w:rsid w:val="77F008AA"/>
    <w:rsid w:val="7808174F"/>
    <w:rsid w:val="780B5BBC"/>
    <w:rsid w:val="782567A5"/>
    <w:rsid w:val="785C1226"/>
    <w:rsid w:val="786170B2"/>
    <w:rsid w:val="787A2473"/>
    <w:rsid w:val="788F1E71"/>
    <w:rsid w:val="78915BE9"/>
    <w:rsid w:val="78BF32A9"/>
    <w:rsid w:val="78D6184E"/>
    <w:rsid w:val="78E02E0D"/>
    <w:rsid w:val="78F85C68"/>
    <w:rsid w:val="790E7239"/>
    <w:rsid w:val="79111B93"/>
    <w:rsid w:val="795F7CC4"/>
    <w:rsid w:val="797A042B"/>
    <w:rsid w:val="798E037A"/>
    <w:rsid w:val="799D3FBE"/>
    <w:rsid w:val="79D02DA8"/>
    <w:rsid w:val="79E006E9"/>
    <w:rsid w:val="79F32DFF"/>
    <w:rsid w:val="79F82CAD"/>
    <w:rsid w:val="7A046FA3"/>
    <w:rsid w:val="7A2F56B9"/>
    <w:rsid w:val="7A381810"/>
    <w:rsid w:val="7A412B15"/>
    <w:rsid w:val="7A4A4FAE"/>
    <w:rsid w:val="7A537953"/>
    <w:rsid w:val="7A8F6158"/>
    <w:rsid w:val="7A903524"/>
    <w:rsid w:val="7AA443C3"/>
    <w:rsid w:val="7AB12572"/>
    <w:rsid w:val="7ABA4368"/>
    <w:rsid w:val="7AC1208A"/>
    <w:rsid w:val="7AC34C78"/>
    <w:rsid w:val="7AE37930"/>
    <w:rsid w:val="7AF17E2A"/>
    <w:rsid w:val="7B1C0007"/>
    <w:rsid w:val="7B7A4E67"/>
    <w:rsid w:val="7B7F441F"/>
    <w:rsid w:val="7B8405D3"/>
    <w:rsid w:val="7B845591"/>
    <w:rsid w:val="7B9B3656"/>
    <w:rsid w:val="7BB96489"/>
    <w:rsid w:val="7BC63EF6"/>
    <w:rsid w:val="7C093CE8"/>
    <w:rsid w:val="7C5E5DE2"/>
    <w:rsid w:val="7C6E2F47"/>
    <w:rsid w:val="7C8B0BA1"/>
    <w:rsid w:val="7C9A1E12"/>
    <w:rsid w:val="7C9C2DAE"/>
    <w:rsid w:val="7CAF2AE1"/>
    <w:rsid w:val="7CCE3374"/>
    <w:rsid w:val="7CF0780B"/>
    <w:rsid w:val="7CF176AA"/>
    <w:rsid w:val="7D08339F"/>
    <w:rsid w:val="7D301C77"/>
    <w:rsid w:val="7D6903CE"/>
    <w:rsid w:val="7D6C3E8C"/>
    <w:rsid w:val="7D9A37D8"/>
    <w:rsid w:val="7D9E6D4C"/>
    <w:rsid w:val="7DA41F1A"/>
    <w:rsid w:val="7DCA3BE1"/>
    <w:rsid w:val="7DE02034"/>
    <w:rsid w:val="7DE10BE6"/>
    <w:rsid w:val="7DE9151E"/>
    <w:rsid w:val="7E074257"/>
    <w:rsid w:val="7E0D5D12"/>
    <w:rsid w:val="7E250F27"/>
    <w:rsid w:val="7E785FF5"/>
    <w:rsid w:val="7E81225C"/>
    <w:rsid w:val="7E894293"/>
    <w:rsid w:val="7E936005"/>
    <w:rsid w:val="7E985800"/>
    <w:rsid w:val="7EA07498"/>
    <w:rsid w:val="7EBC14E6"/>
    <w:rsid w:val="7EF928EC"/>
    <w:rsid w:val="7F202072"/>
    <w:rsid w:val="7F352D7C"/>
    <w:rsid w:val="7F3A0EF8"/>
    <w:rsid w:val="7F510DBE"/>
    <w:rsid w:val="7F61574C"/>
    <w:rsid w:val="7F7165A5"/>
    <w:rsid w:val="7FA27C37"/>
    <w:rsid w:val="7FC06DB4"/>
    <w:rsid w:val="7FE707E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autoRedefine/>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unhideWhenUsed/>
    <w:qFormat/>
    <w:uiPriority w:val="0"/>
    <w:pPr>
      <w:keepNext/>
      <w:keepLines/>
      <w:spacing w:before="260" w:after="260" w:line="416" w:lineRule="auto"/>
      <w:outlineLvl w:val="1"/>
    </w:pPr>
    <w:rPr>
      <w:rFonts w:ascii="Cambria" w:hAnsi="Cambria" w:eastAsia="宋体" w:cs="Times New Roman"/>
      <w:b/>
      <w:bCs/>
      <w:sz w:val="32"/>
      <w:szCs w:val="32"/>
    </w:rPr>
  </w:style>
  <w:style w:type="character" w:default="1" w:styleId="9">
    <w:name w:val="Default Paragraph Font"/>
    <w:autoRedefine/>
    <w:semiHidden/>
    <w:unhideWhenUsed/>
    <w:qFormat/>
    <w:uiPriority w:val="1"/>
  </w:style>
  <w:style w:type="table" w:default="1" w:styleId="7">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Calibri" w:hAnsi="Calibri" w:cs="Times New Roman"/>
      <w:sz w:val="20"/>
      <w:szCs w:val="20"/>
    </w:rPr>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footnote text"/>
    <w:basedOn w:val="1"/>
    <w:qFormat/>
    <w:uiPriority w:val="0"/>
    <w:pPr>
      <w:snapToGrid w:val="0"/>
      <w:jc w:val="left"/>
    </w:pPr>
    <w:rPr>
      <w:sz w:val="18"/>
    </w:rPr>
  </w:style>
  <w:style w:type="table" w:styleId="8">
    <w:name w:val="Table Grid"/>
    <w:basedOn w:val="7"/>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footnote reference"/>
    <w:basedOn w:val="9"/>
    <w:autoRedefine/>
    <w:qFormat/>
    <w:uiPriority w:val="0"/>
    <w:rPr>
      <w:vertAlign w:val="superscript"/>
    </w:rPr>
  </w:style>
  <w:style w:type="paragraph" w:styleId="11">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4460</Words>
  <Characters>4629</Characters>
  <Lines>32</Lines>
  <Paragraphs>9</Paragraphs>
  <TotalTime>2</TotalTime>
  <ScaleCrop>false</ScaleCrop>
  <LinksUpToDate>false</LinksUpToDate>
  <CharactersWithSpaces>4655</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2021-09-28T08:42:00Z</dcterms:created>
  <dc:creator>dh</dc:creator>
  <cp:lastModifiedBy>d</cp:lastModifiedBy>
  <dcterms:modified xsi:type="dcterms:W3CDTF">2024-08-16T11:36:11Z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888D9ADD764E458A996F7A6D768F526B</vt:lpwstr>
  </property>
</Properties>
</file>