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4A56A">
      <w:pPr>
        <w:jc w:val="center"/>
        <w:rPr>
          <w:rFonts w:ascii="黑体" w:hAnsi="黑体" w:eastAsia="黑体" w:cs="Times New Roman"/>
          <w:sz w:val="24"/>
          <w:szCs w:val="24"/>
        </w:rPr>
      </w:pPr>
      <w:r>
        <w:rPr>
          <w:rFonts w:hint="eastAsia" w:ascii="黑体" w:hAnsi="黑体" w:eastAsia="黑体" w:cs="Times New Roman"/>
          <w:sz w:val="24"/>
          <w:szCs w:val="24"/>
        </w:rPr>
        <w:t>长春市</w:t>
      </w:r>
      <w:r>
        <w:rPr>
          <w:rFonts w:ascii="黑体" w:hAnsi="黑体" w:eastAsia="黑体" w:cs="Times New Roman"/>
          <w:sz w:val="24"/>
          <w:szCs w:val="24"/>
        </w:rPr>
        <w:t>地方标准</w:t>
      </w:r>
    </w:p>
    <w:p w14:paraId="107D5B5C">
      <w:pPr>
        <w:jc w:val="center"/>
        <w:rPr>
          <w:rFonts w:ascii="黑体" w:hAnsi="黑体" w:eastAsia="黑体" w:cs="Times New Roman"/>
          <w:sz w:val="24"/>
          <w:szCs w:val="24"/>
        </w:rPr>
      </w:pPr>
      <w:r>
        <w:rPr>
          <w:rFonts w:hint="eastAsia" w:ascii="黑体" w:hAnsi="黑体" w:eastAsia="黑体" w:cs="Times New Roman"/>
          <w:sz w:val="24"/>
          <w:szCs w:val="24"/>
        </w:rPr>
        <w:t>《知识产权纠纷人民调解工作规范》</w:t>
      </w:r>
    </w:p>
    <w:p w14:paraId="4E753550">
      <w:pPr>
        <w:jc w:val="center"/>
        <w:rPr>
          <w:rFonts w:ascii="黑体" w:hAnsi="黑体" w:eastAsia="黑体" w:cs="Times New Roman"/>
          <w:sz w:val="24"/>
          <w:szCs w:val="24"/>
        </w:rPr>
      </w:pPr>
      <w:r>
        <w:rPr>
          <w:rFonts w:hint="eastAsia" w:ascii="黑体" w:hAnsi="黑体" w:eastAsia="黑体" w:cs="Times New Roman"/>
          <w:sz w:val="24"/>
          <w:szCs w:val="24"/>
        </w:rPr>
        <w:t>编制</w:t>
      </w:r>
      <w:r>
        <w:rPr>
          <w:rFonts w:ascii="黑体" w:hAnsi="黑体" w:eastAsia="黑体" w:cs="Times New Roman"/>
          <w:sz w:val="24"/>
          <w:szCs w:val="24"/>
        </w:rPr>
        <w:t>说明</w:t>
      </w:r>
    </w:p>
    <w:p w14:paraId="10C46D0B">
      <w:pPr>
        <w:jc w:val="center"/>
        <w:rPr>
          <w:rFonts w:ascii="Calibri" w:hAnsi="Calibri" w:eastAsia="宋体" w:cs="Times New Roman"/>
          <w:szCs w:val="21"/>
        </w:rPr>
      </w:pPr>
      <w:r>
        <w:rPr>
          <w:rFonts w:hint="eastAsia" w:ascii="黑体" w:hAnsi="黑体" w:eastAsia="黑体" w:cs="Times New Roman"/>
          <w:sz w:val="24"/>
          <w:szCs w:val="24"/>
        </w:rPr>
        <w:t>（征求意见稿</w:t>
      </w:r>
      <w:r>
        <w:rPr>
          <w:rFonts w:ascii="黑体" w:hAnsi="黑体" w:eastAsia="黑体" w:cs="Times New Roman"/>
          <w:sz w:val="24"/>
          <w:szCs w:val="24"/>
        </w:rPr>
        <w:t>）</w:t>
      </w:r>
    </w:p>
    <w:p w14:paraId="37C1B1BD">
      <w:pPr>
        <w:jc w:val="center"/>
        <w:rPr>
          <w:rFonts w:ascii="Calibri" w:hAnsi="Calibri" w:eastAsia="宋体" w:cs="Times New Roman"/>
          <w:szCs w:val="21"/>
        </w:rPr>
      </w:pPr>
    </w:p>
    <w:p w14:paraId="5A718855">
      <w:pPr>
        <w:jc w:val="center"/>
        <w:rPr>
          <w:rFonts w:ascii="Calibri" w:hAnsi="Calibri" w:eastAsia="宋体" w:cs="Times New Roman"/>
          <w:szCs w:val="21"/>
        </w:rPr>
      </w:pPr>
    </w:p>
    <w:p w14:paraId="1B4A0A2C">
      <w:pPr>
        <w:pStyle w:val="8"/>
        <w:ind w:left="567" w:firstLine="0" w:firstLineChars="0"/>
        <w:jc w:val="left"/>
        <w:rPr>
          <w:rFonts w:ascii="黑体" w:hAnsi="黑体" w:eastAsia="黑体"/>
        </w:rPr>
      </w:pPr>
      <w:r>
        <w:rPr>
          <w:rFonts w:hint="eastAsia" w:ascii="黑体" w:hAnsi="黑体" w:eastAsia="黑体"/>
        </w:rPr>
        <w:t>一</w:t>
      </w:r>
      <w:r>
        <w:rPr>
          <w:rFonts w:ascii="黑体" w:hAnsi="黑体" w:eastAsia="黑体"/>
        </w:rPr>
        <w:t>、工作情况</w:t>
      </w:r>
    </w:p>
    <w:p w14:paraId="4CAB6306">
      <w:pPr>
        <w:widowControl/>
        <w:spacing w:line="360" w:lineRule="auto"/>
        <w:ind w:firstLine="420" w:firstLineChars="200"/>
        <w:jc w:val="left"/>
        <w:rPr>
          <w:rFonts w:ascii="宋体" w:hAnsi="宋体" w:cs="宋体"/>
          <w:kern w:val="0"/>
          <w:szCs w:val="21"/>
        </w:rPr>
      </w:pPr>
      <w:r>
        <w:rPr>
          <w:rFonts w:hint="eastAsia" w:ascii="宋体" w:hAnsi="宋体" w:cs="宋体"/>
          <w:kern w:val="0"/>
          <w:szCs w:val="21"/>
        </w:rPr>
        <w:t>（一）任务来源</w:t>
      </w:r>
    </w:p>
    <w:p w14:paraId="24A77AD4">
      <w:pPr>
        <w:widowControl/>
        <w:spacing w:line="360" w:lineRule="auto"/>
        <w:ind w:firstLine="420" w:firstLineChars="200"/>
        <w:rPr>
          <w:bCs/>
          <w:szCs w:val="21"/>
        </w:rPr>
      </w:pPr>
      <w:r>
        <w:rPr>
          <w:rFonts w:hint="eastAsia"/>
          <w:bCs/>
          <w:szCs w:val="21"/>
        </w:rPr>
        <w:t>本任务来源于长春市市场监督管理局《</w:t>
      </w:r>
      <w:r>
        <w:rPr>
          <w:rFonts w:hint="eastAsia"/>
          <w:bCs/>
          <w:szCs w:val="21"/>
          <w:lang w:val="en-US" w:eastAsia="zh-CN"/>
        </w:rPr>
        <w:t>关于下达</w:t>
      </w:r>
      <w:r>
        <w:rPr>
          <w:rFonts w:hint="eastAsia"/>
          <w:bCs/>
          <w:szCs w:val="21"/>
        </w:rPr>
        <w:t>2024年度长春市地方标准制定项目计划的通知》，计划编号为</w:t>
      </w:r>
      <w:r>
        <w:rPr>
          <w:rFonts w:hint="eastAsia" w:asciiTheme="minorEastAsia" w:hAnsiTheme="minorEastAsia"/>
          <w:bCs/>
          <w:szCs w:val="21"/>
        </w:rPr>
        <w:t>DBXM21-2024</w:t>
      </w:r>
      <w:r>
        <w:rPr>
          <w:rFonts w:hint="eastAsia"/>
          <w:bCs/>
          <w:szCs w:val="21"/>
        </w:rPr>
        <w:t>，计划名称为《知识产权纠纷人民调解工作规范》。</w:t>
      </w:r>
    </w:p>
    <w:p w14:paraId="2699377E">
      <w:pPr>
        <w:widowControl/>
        <w:spacing w:line="360" w:lineRule="auto"/>
        <w:ind w:firstLine="420" w:firstLineChars="200"/>
        <w:rPr>
          <w:kern w:val="0"/>
          <w:szCs w:val="21"/>
        </w:rPr>
      </w:pPr>
      <w:r>
        <w:rPr>
          <w:rFonts w:hint="eastAsia" w:ascii="宋体" w:hAnsi="宋体" w:cs="宋体"/>
          <w:kern w:val="0"/>
          <w:szCs w:val="21"/>
        </w:rPr>
        <w:t>（二）起草单位、协作单位</w:t>
      </w:r>
    </w:p>
    <w:p w14:paraId="01892AD4">
      <w:pPr>
        <w:widowControl/>
        <w:spacing w:line="360" w:lineRule="auto"/>
        <w:ind w:firstLine="420" w:firstLineChars="200"/>
        <w:rPr>
          <w:bCs/>
          <w:color w:val="auto"/>
          <w:szCs w:val="21"/>
        </w:rPr>
      </w:pPr>
      <w:r>
        <w:rPr>
          <w:rFonts w:hint="eastAsia"/>
          <w:bCs/>
          <w:szCs w:val="21"/>
        </w:rPr>
        <w:t>本标</w:t>
      </w:r>
      <w:r>
        <w:rPr>
          <w:rFonts w:hint="eastAsia"/>
          <w:bCs/>
          <w:color w:val="auto"/>
          <w:szCs w:val="21"/>
        </w:rPr>
        <w:t>准由长春市</w:t>
      </w:r>
      <w:r>
        <w:rPr>
          <w:rFonts w:hint="eastAsia"/>
          <w:bCs/>
          <w:color w:val="auto"/>
          <w:szCs w:val="21"/>
          <w:lang w:val="en-US" w:eastAsia="zh-CN"/>
        </w:rPr>
        <w:t>知识产权保护中心</w:t>
      </w:r>
      <w:r>
        <w:rPr>
          <w:rFonts w:hint="eastAsia"/>
          <w:bCs/>
          <w:color w:val="auto"/>
          <w:szCs w:val="21"/>
        </w:rPr>
        <w:t>提出并归口。长春市</w:t>
      </w:r>
      <w:r>
        <w:rPr>
          <w:rFonts w:hint="eastAsia"/>
          <w:bCs/>
          <w:color w:val="auto"/>
          <w:szCs w:val="21"/>
          <w:lang w:val="en-US" w:eastAsia="zh-CN"/>
        </w:rPr>
        <w:t>知识产权保护中心</w:t>
      </w:r>
      <w:r>
        <w:rPr>
          <w:rFonts w:hint="eastAsia"/>
          <w:bCs/>
          <w:color w:val="auto"/>
          <w:szCs w:val="21"/>
        </w:rPr>
        <w:t>、长春市标准研究院（长春市WTO/TBT咨询中心）</w:t>
      </w:r>
      <w:r>
        <w:rPr>
          <w:rFonts w:hint="eastAsia"/>
          <w:bCs/>
          <w:color w:val="auto"/>
          <w:szCs w:val="21"/>
          <w:lang w:eastAsia="zh-CN"/>
        </w:rPr>
        <w:t>（</w:t>
      </w:r>
      <w:r>
        <w:rPr>
          <w:rFonts w:hint="eastAsia"/>
          <w:bCs/>
          <w:color w:val="auto"/>
          <w:szCs w:val="21"/>
          <w:lang w:val="en-US" w:eastAsia="zh-CN"/>
        </w:rPr>
        <w:t>以下简称长春市标准研究院</w:t>
      </w:r>
      <w:r>
        <w:rPr>
          <w:rFonts w:hint="eastAsia"/>
          <w:bCs/>
          <w:color w:val="auto"/>
          <w:szCs w:val="21"/>
          <w:lang w:eastAsia="zh-CN"/>
        </w:rPr>
        <w:t>）</w:t>
      </w:r>
      <w:r>
        <w:rPr>
          <w:rFonts w:hint="eastAsia"/>
          <w:bCs/>
          <w:color w:val="auto"/>
          <w:szCs w:val="21"/>
        </w:rPr>
        <w:t>共同起草。</w:t>
      </w:r>
    </w:p>
    <w:p w14:paraId="28152F3A">
      <w:pPr>
        <w:widowControl/>
        <w:numPr>
          <w:ilvl w:val="0"/>
          <w:numId w:val="1"/>
        </w:numPr>
        <w:spacing w:line="360" w:lineRule="auto"/>
        <w:ind w:firstLine="420" w:firstLineChars="200"/>
        <w:jc w:val="left"/>
        <w:rPr>
          <w:rFonts w:ascii="黑体" w:hAnsi="宋体" w:eastAsia="黑体"/>
          <w:kern w:val="0"/>
          <w:szCs w:val="21"/>
        </w:rPr>
      </w:pPr>
      <w:r>
        <w:rPr>
          <w:rFonts w:hint="eastAsia" w:ascii="黑体" w:hAnsi="宋体" w:eastAsia="黑体"/>
          <w:kern w:val="0"/>
          <w:szCs w:val="21"/>
        </w:rPr>
        <w:t>制（修）订标准的必要性、目的和意义</w:t>
      </w:r>
    </w:p>
    <w:p w14:paraId="0430A005">
      <w:pPr>
        <w:pStyle w:val="8"/>
        <w:ind w:left="426" w:firstLine="0" w:firstLineChars="0"/>
        <w:jc w:val="left"/>
      </w:pPr>
      <w:r>
        <w:rPr>
          <w:rFonts w:hint="eastAsia"/>
        </w:rPr>
        <w:t>（一</w:t>
      </w:r>
      <w:r>
        <w:t>）</w:t>
      </w:r>
      <w:r>
        <w:rPr>
          <w:rFonts w:hint="eastAsia"/>
        </w:rPr>
        <w:t>必要性</w:t>
      </w:r>
    </w:p>
    <w:p w14:paraId="606CC4AC">
      <w:pPr>
        <w:spacing w:line="360" w:lineRule="auto"/>
        <w:ind w:firstLine="420"/>
        <w:jc w:val="left"/>
        <w:rPr>
          <w:rFonts w:hint="eastAsia"/>
        </w:rPr>
      </w:pPr>
      <w:r>
        <w:rPr>
          <w:rFonts w:hint="eastAsia"/>
        </w:rPr>
        <w:t>“保护知识产权就是保护创新”，近些年来国家高度重视知识产权保护工作，知识产权权利人的维权意识不断增强。当前，知识产权领域纠纷案件日益增多，司法审判、知识产权行政机关面临案多人少的局面，知识产权纠纷需要更多化解渠道。相对于周期较长的司法审判、效果有限的行政 处理和适用范围较小的仲裁，调解具有灵活、快捷和低成本的突出优势。人民调解是中国特色的诉讼外调解方式，具有平等自愿、方便快捷、经济便利、灵活高效等特点。通过人民调解及时化解知识产权纠纷，不仅能及时保障知识产权权利人的合法权益，减少纠纷双方当事人的时间、金钱成本，又能节约司法行政资源，使得法院及知识产权行政管理部门集中精力处理知识产权疑难案件。</w:t>
      </w:r>
    </w:p>
    <w:p w14:paraId="4905664C">
      <w:pPr>
        <w:spacing w:line="360" w:lineRule="auto"/>
        <w:ind w:firstLine="420"/>
        <w:jc w:val="left"/>
        <w:rPr>
          <w:rFonts w:hint="eastAsia"/>
        </w:rPr>
      </w:pPr>
      <w:r>
        <w:rPr>
          <w:rFonts w:hint="eastAsia"/>
        </w:rPr>
        <w:t>在现行法规中，《中华人民共和国人民调解法》作为人民调解工作的基础性法规，主要规定的是民间纠纷的一般性人民调解原则，并没有对知识产权纠纷人民调解工作的专业化调解进行明确的说明。各人民调解组织在处置知识产权相关纠纷调解的工作中，应认识到知识产权纠纷人民调解工作的复杂性、行业性、专业性等特点，完善知识产权纠纷人民调解工作流程管理的标准化建设，有序规范地开展知识产权纠纷人民调解工作。为了更好地落实</w:t>
      </w:r>
      <w:r>
        <w:rPr>
          <w:rFonts w:hint="eastAsia"/>
          <w:color w:val="auto"/>
        </w:rPr>
        <w:t>《中共中央办公厅国务院办公厅关于完善矛盾纠纷多元化解机制的意见》（中办发〔2015〕60号）</w:t>
      </w:r>
      <w:r>
        <w:rPr>
          <w:rFonts w:hint="eastAsia"/>
          <w:color w:val="auto"/>
          <w:lang w:val="en-US" w:eastAsia="zh-CN"/>
        </w:rPr>
        <w:t>与</w:t>
      </w:r>
      <w:r>
        <w:rPr>
          <w:rFonts w:hint="eastAsia"/>
          <w:color w:val="auto"/>
        </w:rPr>
        <w:t>《国务院关于印发“十</w:t>
      </w:r>
      <w:r>
        <w:rPr>
          <w:rFonts w:hint="eastAsia"/>
          <w:color w:val="auto"/>
          <w:lang w:val="en-US" w:eastAsia="zh-CN"/>
        </w:rPr>
        <w:t>四</w:t>
      </w:r>
      <w:r>
        <w:rPr>
          <w:rFonts w:hint="eastAsia"/>
          <w:color w:val="auto"/>
        </w:rPr>
        <w:t>五”国家知识产权保护和运用规划的通知》（国发〔20</w:t>
      </w:r>
      <w:r>
        <w:rPr>
          <w:rFonts w:hint="eastAsia"/>
          <w:color w:val="auto"/>
          <w:lang w:val="en-US" w:eastAsia="zh-CN"/>
        </w:rPr>
        <w:t>21</w:t>
      </w:r>
      <w:r>
        <w:rPr>
          <w:rFonts w:hint="eastAsia"/>
          <w:color w:val="auto"/>
        </w:rPr>
        <w:t>〕</w:t>
      </w:r>
      <w:r>
        <w:rPr>
          <w:rFonts w:hint="eastAsia"/>
          <w:color w:val="auto"/>
          <w:lang w:val="en-US" w:eastAsia="zh-CN"/>
        </w:rPr>
        <w:t>20</w:t>
      </w:r>
      <w:r>
        <w:rPr>
          <w:rFonts w:hint="eastAsia"/>
          <w:color w:val="auto"/>
        </w:rPr>
        <w:t>号）</w:t>
      </w:r>
      <w:r>
        <w:rPr>
          <w:rFonts w:hint="eastAsia"/>
          <w:color w:val="auto"/>
          <w:lang w:val="en-US" w:eastAsia="zh-CN"/>
        </w:rPr>
        <w:t>文件</w:t>
      </w:r>
      <w:r>
        <w:rPr>
          <w:rFonts w:hint="eastAsia"/>
          <w:color w:val="auto"/>
        </w:rPr>
        <w:t>要求，加强知</w:t>
      </w:r>
      <w:r>
        <w:rPr>
          <w:rFonts w:hint="eastAsia"/>
        </w:rPr>
        <w:t>识产权纠纷人民调解组织建设，推动人民调解与司法等其他知识产权保护途径形成有机互补、相互衔接的知识产权纠纷多元化解机制，积极构建知识产权保护体系，引导各人民调解组织在知识产权纠纷人民调解工作方面的规范化管理制度，增强知识产权纠纷解决能力、提升人民调解工作效率，缓解司法、行政机关的压力，保障专利权人、其他利益相关方和社会公众的知识产权维权效果和效率，</w:t>
      </w:r>
      <w:r>
        <w:rPr>
          <w:rFonts w:hint="eastAsia"/>
          <w:lang w:val="en-US" w:eastAsia="zh-CN"/>
        </w:rPr>
        <w:t>因此亟需出台相关标准</w:t>
      </w:r>
      <w:r>
        <w:rPr>
          <w:rFonts w:hint="eastAsia"/>
        </w:rPr>
        <w:t>。</w:t>
      </w:r>
    </w:p>
    <w:p w14:paraId="5925DEFF">
      <w:pPr>
        <w:spacing w:line="360" w:lineRule="auto"/>
        <w:ind w:firstLine="420"/>
        <w:jc w:val="left"/>
        <w:rPr>
          <w:rFonts w:hint="eastAsia"/>
        </w:rPr>
      </w:pPr>
      <w:r>
        <w:rPr>
          <w:rFonts w:hint="eastAsia"/>
          <w:lang w:val="en-US" w:eastAsia="zh-CN"/>
        </w:rPr>
        <w:t>此外，由于长春市</w:t>
      </w:r>
      <w:r>
        <w:rPr>
          <w:rFonts w:hint="eastAsia"/>
        </w:rPr>
        <w:t>知识产权纠纷调解业务</w:t>
      </w:r>
      <w:r>
        <w:rPr>
          <w:rFonts w:hint="eastAsia"/>
          <w:lang w:val="en-US" w:eastAsia="zh-CN"/>
        </w:rPr>
        <w:t>量不断激增</w:t>
      </w:r>
      <w:r>
        <w:rPr>
          <w:rFonts w:hint="eastAsia"/>
        </w:rPr>
        <w:t>，纠纷当事人对通过调解方式解决知识产权纠纷的需求</w:t>
      </w:r>
      <w:r>
        <w:rPr>
          <w:rFonts w:hint="eastAsia"/>
          <w:lang w:val="en-US" w:eastAsia="zh-CN"/>
        </w:rPr>
        <w:t>也</w:t>
      </w:r>
      <w:r>
        <w:rPr>
          <w:rFonts w:hint="eastAsia"/>
        </w:rPr>
        <w:t>日趋旺盛。为</w:t>
      </w:r>
      <w:r>
        <w:rPr>
          <w:rFonts w:hint="eastAsia"/>
          <w:lang w:val="en-US" w:eastAsia="zh-CN"/>
        </w:rPr>
        <w:t>了更好的助力提升我市知识产权纠纷调解服务能力，</w:t>
      </w:r>
      <w:r>
        <w:rPr>
          <w:rFonts w:hint="eastAsia"/>
        </w:rPr>
        <w:t>保障当事人的权利，亟待制定标准引导行业的规范化发展。</w:t>
      </w:r>
    </w:p>
    <w:p w14:paraId="150AAF18">
      <w:pPr>
        <w:pStyle w:val="8"/>
        <w:ind w:left="426" w:firstLine="0" w:firstLineChars="0"/>
        <w:jc w:val="left"/>
      </w:pPr>
      <w:r>
        <w:rPr>
          <w:rFonts w:hint="eastAsia"/>
        </w:rPr>
        <w:t>（二</w:t>
      </w:r>
      <w:r>
        <w:t>）</w:t>
      </w:r>
      <w:r>
        <w:rPr>
          <w:rFonts w:hint="eastAsia"/>
        </w:rPr>
        <w:t>目的和意义</w:t>
      </w:r>
    </w:p>
    <w:p w14:paraId="1A5ED9AC">
      <w:pPr>
        <w:spacing w:line="360" w:lineRule="auto"/>
        <w:ind w:firstLine="420"/>
        <w:jc w:val="left"/>
        <w:rPr>
          <w:rFonts w:hint="eastAsia"/>
        </w:rPr>
      </w:pPr>
      <w:r>
        <w:rPr>
          <w:rFonts w:hint="eastAsia"/>
        </w:rPr>
        <w:t>《知识产权强国建设纲要（2021—2035 年）》中明确提出“健全统一领导、衔接顺畅、快速高效的协同保护格局，要建立完善知识产权仲裁、调解、公证、鉴定和维权援助体系，加强相关制度建设”。随着知识产权强国战略的推进和与知识产权有关的标准化工作的不断强化，知识产权纠纷人民调解将成为加快知识产权标准</w:t>
      </w:r>
      <w:r>
        <w:rPr>
          <w:rFonts w:hint="eastAsia"/>
          <w:lang w:val="en-US" w:eastAsia="zh-CN"/>
        </w:rPr>
        <w:t>体系</w:t>
      </w:r>
      <w:r>
        <w:rPr>
          <w:rFonts w:hint="eastAsia"/>
        </w:rPr>
        <w:t>建设的工作重点之一。</w:t>
      </w:r>
    </w:p>
    <w:p w14:paraId="710BA36D">
      <w:pPr>
        <w:spacing w:line="360" w:lineRule="auto"/>
        <w:ind w:firstLine="420"/>
        <w:jc w:val="left"/>
        <w:rPr>
          <w:rFonts w:hint="eastAsia"/>
        </w:rPr>
      </w:pPr>
      <w:r>
        <w:rPr>
          <w:rFonts w:hint="eastAsia"/>
        </w:rPr>
        <w:t>现阶段，由于</w:t>
      </w:r>
      <w:r>
        <w:rPr>
          <w:rFonts w:hint="eastAsia"/>
          <w:lang w:val="en-US" w:eastAsia="zh-CN"/>
        </w:rPr>
        <w:t>我市</w:t>
      </w:r>
      <w:r>
        <w:rPr>
          <w:rFonts w:hint="eastAsia"/>
        </w:rPr>
        <w:t>尚没有可依据的知识产权纠纷人民调解领域的各类行业标准和地方标准，知识产权纠纷调解</w:t>
      </w:r>
      <w:r>
        <w:rPr>
          <w:rFonts w:hint="eastAsia"/>
          <w:lang w:val="en-US" w:eastAsia="zh-CN"/>
        </w:rPr>
        <w:t>工作</w:t>
      </w:r>
      <w:r>
        <w:rPr>
          <w:rFonts w:hint="eastAsia"/>
        </w:rPr>
        <w:t>缺乏统一的管理规范，运行机制尚</w:t>
      </w:r>
      <w:r>
        <w:rPr>
          <w:rFonts w:hint="eastAsia"/>
          <w:lang w:val="en-US" w:eastAsia="zh-CN"/>
        </w:rPr>
        <w:t>待提升</w:t>
      </w:r>
      <w:r>
        <w:rPr>
          <w:rFonts w:hint="eastAsia"/>
        </w:rPr>
        <w:t>。相关当事人与人民调解组织对知识产权纠纷调解工作的规范化、标准化工作方面存在困惑，急需相关引导性标准。本标准</w:t>
      </w:r>
      <w:r>
        <w:rPr>
          <w:rFonts w:hint="eastAsia"/>
          <w:lang w:val="en-US" w:eastAsia="zh-CN"/>
        </w:rPr>
        <w:t>旨在</w:t>
      </w:r>
      <w:r>
        <w:rPr>
          <w:rFonts w:hint="eastAsia"/>
        </w:rPr>
        <w:t>制定覆盖并适用于全</w:t>
      </w:r>
      <w:r>
        <w:rPr>
          <w:rFonts w:hint="eastAsia"/>
          <w:lang w:val="en-US" w:eastAsia="zh-CN"/>
        </w:rPr>
        <w:t>市</w:t>
      </w:r>
      <w:r>
        <w:rPr>
          <w:rFonts w:hint="eastAsia"/>
        </w:rPr>
        <w:t>知识产权纠纷人民调解</w:t>
      </w:r>
      <w:r>
        <w:rPr>
          <w:rFonts w:hint="eastAsia"/>
          <w:lang w:val="en-US" w:eastAsia="zh-CN"/>
        </w:rPr>
        <w:t>工作</w:t>
      </w:r>
      <w:r>
        <w:rPr>
          <w:rFonts w:hint="eastAsia"/>
        </w:rPr>
        <w:t>的规范性文件，为推动全</w:t>
      </w:r>
      <w:r>
        <w:rPr>
          <w:rFonts w:hint="eastAsia"/>
          <w:lang w:val="en-US" w:eastAsia="zh-CN"/>
        </w:rPr>
        <w:t>市</w:t>
      </w:r>
      <w:r>
        <w:rPr>
          <w:rFonts w:hint="eastAsia"/>
        </w:rPr>
        <w:t>知识产权纠纷人民调解工作健康有序发展、发挥调解“分流阀”作用提供重要保障。</w:t>
      </w:r>
      <w:r>
        <w:rPr>
          <w:rFonts w:hint="eastAsia"/>
          <w:lang w:val="en-US" w:eastAsia="zh-CN"/>
        </w:rPr>
        <w:t>因此，</w:t>
      </w:r>
      <w:r>
        <w:rPr>
          <w:rFonts w:hint="eastAsia"/>
        </w:rPr>
        <w:t>本标准的</w:t>
      </w:r>
      <w:r>
        <w:rPr>
          <w:rFonts w:hint="eastAsia"/>
          <w:lang w:val="en-US" w:eastAsia="zh-CN"/>
        </w:rPr>
        <w:t>制定与</w:t>
      </w:r>
      <w:r>
        <w:rPr>
          <w:rFonts w:hint="eastAsia"/>
        </w:rPr>
        <w:t>实施</w:t>
      </w:r>
      <w:r>
        <w:rPr>
          <w:rFonts w:hint="eastAsia"/>
          <w:lang w:val="en-US" w:eastAsia="zh-CN"/>
        </w:rPr>
        <w:t>可以</w:t>
      </w:r>
      <w:r>
        <w:rPr>
          <w:rFonts w:hint="eastAsia"/>
        </w:rPr>
        <w:t>填补</w:t>
      </w:r>
      <w:r>
        <w:rPr>
          <w:rFonts w:hint="eastAsia"/>
          <w:color w:val="auto"/>
          <w:lang w:val="en-US" w:eastAsia="zh-CN"/>
        </w:rPr>
        <w:t>长春市知识产权纠纷人民调解领域标准化工作的</w:t>
      </w:r>
      <w:r>
        <w:rPr>
          <w:rFonts w:hint="eastAsia"/>
          <w:color w:val="auto"/>
        </w:rPr>
        <w:t>空白，为</w:t>
      </w:r>
      <w:r>
        <w:rPr>
          <w:rFonts w:hint="eastAsia"/>
        </w:rPr>
        <w:t>知识产权纠纷调解服务提供了具体的规范化指引。</w:t>
      </w:r>
    </w:p>
    <w:p w14:paraId="56EAB3C7">
      <w:pPr>
        <w:widowControl/>
        <w:numPr>
          <w:ilvl w:val="0"/>
          <w:numId w:val="2"/>
        </w:numPr>
        <w:spacing w:line="360" w:lineRule="auto"/>
        <w:ind w:firstLine="420" w:firstLineChars="200"/>
        <w:jc w:val="left"/>
        <w:rPr>
          <w:rFonts w:ascii="黑体" w:hAnsi="宋体" w:eastAsia="黑体" w:cs="Times New Roman"/>
          <w:kern w:val="0"/>
          <w:szCs w:val="21"/>
        </w:rPr>
      </w:pPr>
      <w:r>
        <w:rPr>
          <w:rFonts w:hint="eastAsia" w:ascii="黑体" w:hAnsi="宋体" w:eastAsia="黑体" w:cs="Times New Roman"/>
          <w:kern w:val="0"/>
          <w:szCs w:val="21"/>
        </w:rPr>
        <w:t>主要起草过程</w:t>
      </w:r>
    </w:p>
    <w:p w14:paraId="1B7A7BB3">
      <w:pPr>
        <w:widowControl/>
        <w:numPr>
          <w:ilvl w:val="0"/>
          <w:numId w:val="3"/>
        </w:numPr>
        <w:spacing w:line="360" w:lineRule="auto"/>
        <w:ind w:firstLine="420" w:firstLineChars="200"/>
        <w:jc w:val="left"/>
        <w:rPr>
          <w:rFonts w:ascii="宋体" w:hAnsi="宋体" w:eastAsia="宋体" w:cs="宋体"/>
          <w:kern w:val="0"/>
          <w:szCs w:val="21"/>
        </w:rPr>
      </w:pPr>
      <w:r>
        <w:rPr>
          <w:rFonts w:hint="eastAsia" w:ascii="宋体" w:hAnsi="宋体" w:eastAsia="宋体" w:cs="宋体"/>
          <w:kern w:val="0"/>
          <w:szCs w:val="21"/>
        </w:rPr>
        <w:t>预研阶段</w:t>
      </w:r>
    </w:p>
    <w:p w14:paraId="407B0E0C">
      <w:pPr>
        <w:pStyle w:val="8"/>
        <w:spacing w:line="360" w:lineRule="auto"/>
        <w:rPr>
          <w:rFonts w:hint="eastAsia" w:ascii="宋体" w:hAnsi="宋体" w:eastAsia="宋体" w:cs="宋体"/>
          <w:kern w:val="0"/>
          <w:szCs w:val="21"/>
        </w:rPr>
      </w:pPr>
      <w:r>
        <w:rPr>
          <w:rFonts w:hint="eastAsia" w:ascii="宋体" w:hAnsi="宋体" w:eastAsia="宋体" w:cs="宋体"/>
          <w:kern w:val="0"/>
          <w:szCs w:val="21"/>
        </w:rPr>
        <w:t xml:space="preserve"> 202</w:t>
      </w:r>
      <w:r>
        <w:rPr>
          <w:rFonts w:hint="eastAsia" w:ascii="宋体" w:hAnsi="宋体" w:eastAsia="宋体" w:cs="宋体"/>
          <w:kern w:val="0"/>
          <w:szCs w:val="21"/>
          <w:lang w:val="en-US" w:eastAsia="zh-CN"/>
        </w:rPr>
        <w:t>4</w:t>
      </w:r>
      <w:r>
        <w:rPr>
          <w:rFonts w:ascii="宋体" w:hAnsi="宋体" w:eastAsia="宋体" w:cs="宋体"/>
          <w:kern w:val="0"/>
          <w:szCs w:val="21"/>
        </w:rPr>
        <w:t>年</w:t>
      </w:r>
      <w:r>
        <w:rPr>
          <w:rFonts w:hint="eastAsia" w:ascii="宋体" w:hAnsi="宋体" w:eastAsia="宋体" w:cs="宋体"/>
          <w:kern w:val="0"/>
          <w:szCs w:val="21"/>
          <w:lang w:val="en-US" w:eastAsia="zh-CN"/>
        </w:rPr>
        <w:t>1月</w:t>
      </w:r>
      <w:r>
        <w:rPr>
          <w:rFonts w:hint="eastAsia" w:ascii="宋体" w:hAnsi="宋体" w:eastAsia="宋体" w:cs="宋体"/>
          <w:kern w:val="0"/>
          <w:szCs w:val="21"/>
        </w:rPr>
        <w:t>，长春市知识产权保护中心</w:t>
      </w:r>
      <w:r>
        <w:rPr>
          <w:rFonts w:hint="eastAsia" w:ascii="宋体" w:hAnsi="宋体" w:eastAsia="宋体" w:cs="宋体"/>
          <w:kern w:val="0"/>
          <w:szCs w:val="21"/>
          <w:lang w:val="en-US" w:eastAsia="zh-CN"/>
        </w:rPr>
        <w:t>和</w:t>
      </w:r>
      <w:r>
        <w:rPr>
          <w:rFonts w:hint="eastAsia" w:ascii="宋体" w:hAnsi="宋体" w:eastAsia="宋体" w:cs="宋体"/>
          <w:kern w:val="0"/>
          <w:szCs w:val="21"/>
        </w:rPr>
        <w:t>长春市标准研究院组成</w:t>
      </w:r>
      <w:r>
        <w:rPr>
          <w:rFonts w:ascii="宋体" w:hAnsi="宋体" w:eastAsia="宋体" w:cs="宋体"/>
          <w:kern w:val="0"/>
          <w:szCs w:val="21"/>
        </w:rPr>
        <w:t>工作组，</w:t>
      </w:r>
      <w:r>
        <w:rPr>
          <w:rFonts w:hint="eastAsia" w:ascii="宋体" w:hAnsi="宋体" w:eastAsia="宋体" w:cs="宋体"/>
          <w:kern w:val="0"/>
          <w:szCs w:val="21"/>
          <w:lang w:val="en-US" w:eastAsia="zh-CN"/>
        </w:rPr>
        <w:t>对我市</w:t>
      </w:r>
      <w:r>
        <w:rPr>
          <w:rFonts w:hint="eastAsia" w:ascii="宋体" w:hAnsi="宋体" w:eastAsia="宋体" w:cs="宋体"/>
          <w:color w:val="auto"/>
          <w:kern w:val="0"/>
          <w:szCs w:val="21"/>
          <w:lang w:val="en-US" w:eastAsia="zh-CN"/>
        </w:rPr>
        <w:t>知识产权纠纷人民调解</w:t>
      </w:r>
      <w:r>
        <w:rPr>
          <w:rFonts w:hint="eastAsia" w:ascii="宋体" w:hAnsi="宋体" w:eastAsia="宋体" w:cs="宋体"/>
          <w:kern w:val="0"/>
          <w:szCs w:val="21"/>
        </w:rPr>
        <w:t>组织建设、队伍建设、机制建设</w:t>
      </w:r>
      <w:r>
        <w:rPr>
          <w:rFonts w:hint="eastAsia" w:ascii="宋体" w:hAnsi="宋体" w:eastAsia="宋体" w:cs="宋体"/>
          <w:kern w:val="0"/>
          <w:szCs w:val="21"/>
          <w:lang w:val="en-US" w:eastAsia="zh-CN"/>
        </w:rPr>
        <w:t>现状以及知识产权纠纷人民调解的业务</w:t>
      </w:r>
      <w:r>
        <w:rPr>
          <w:rFonts w:hint="eastAsia" w:ascii="宋体" w:hAnsi="宋体" w:eastAsia="宋体" w:cs="宋体"/>
          <w:color w:val="auto"/>
          <w:kern w:val="0"/>
          <w:szCs w:val="21"/>
          <w:lang w:val="en-US" w:eastAsia="zh-CN"/>
        </w:rPr>
        <w:t>程序等工作</w:t>
      </w:r>
      <w:r>
        <w:rPr>
          <w:rFonts w:hint="eastAsia" w:ascii="宋体" w:hAnsi="宋体" w:eastAsia="宋体" w:cs="宋体"/>
          <w:color w:val="auto"/>
          <w:kern w:val="0"/>
          <w:szCs w:val="21"/>
        </w:rPr>
        <w:t>情</w:t>
      </w:r>
      <w:r>
        <w:rPr>
          <w:rFonts w:hint="eastAsia" w:ascii="宋体" w:hAnsi="宋体" w:eastAsia="宋体" w:cs="宋体"/>
          <w:kern w:val="0"/>
          <w:szCs w:val="21"/>
        </w:rPr>
        <w:t>况</w:t>
      </w:r>
      <w:r>
        <w:rPr>
          <w:rFonts w:ascii="宋体" w:hAnsi="宋体" w:eastAsia="宋体" w:cs="宋体"/>
          <w:kern w:val="0"/>
          <w:szCs w:val="21"/>
        </w:rPr>
        <w:t>进行了</w:t>
      </w:r>
      <w:r>
        <w:rPr>
          <w:rFonts w:hint="eastAsia" w:ascii="宋体" w:hAnsi="宋体" w:eastAsia="宋体" w:cs="宋体"/>
          <w:kern w:val="0"/>
          <w:szCs w:val="21"/>
          <w:lang w:val="en-US" w:eastAsia="zh-CN"/>
        </w:rPr>
        <w:t>深入</w:t>
      </w:r>
      <w:r>
        <w:rPr>
          <w:rFonts w:hint="eastAsia" w:ascii="宋体" w:hAnsi="宋体" w:eastAsia="宋体" w:cs="宋体"/>
          <w:kern w:val="0"/>
          <w:szCs w:val="21"/>
        </w:rPr>
        <w:t>调研。</w:t>
      </w:r>
      <w:r>
        <w:rPr>
          <w:rFonts w:ascii="宋体" w:hAnsi="宋体" w:eastAsia="宋体" w:cs="宋体"/>
          <w:kern w:val="0"/>
          <w:szCs w:val="21"/>
        </w:rPr>
        <w:t>收集了相关的</w:t>
      </w:r>
      <w:r>
        <w:rPr>
          <w:rFonts w:hint="eastAsia" w:ascii="宋体" w:hAnsi="宋体" w:eastAsia="宋体" w:cs="宋体"/>
          <w:kern w:val="0"/>
          <w:szCs w:val="21"/>
        </w:rPr>
        <w:t>法律</w:t>
      </w:r>
      <w:r>
        <w:rPr>
          <w:rFonts w:ascii="宋体" w:hAnsi="宋体" w:eastAsia="宋体" w:cs="宋体"/>
          <w:kern w:val="0"/>
          <w:szCs w:val="21"/>
        </w:rPr>
        <w:t>法规、国家标准</w:t>
      </w:r>
      <w:r>
        <w:rPr>
          <w:rFonts w:hint="eastAsia" w:ascii="宋体" w:hAnsi="宋体" w:eastAsia="宋体" w:cs="宋体"/>
          <w:kern w:val="0"/>
          <w:szCs w:val="21"/>
        </w:rPr>
        <w:t>和</w:t>
      </w:r>
      <w:r>
        <w:rPr>
          <w:rFonts w:ascii="宋体" w:hAnsi="宋体" w:eastAsia="宋体" w:cs="宋体"/>
          <w:kern w:val="0"/>
          <w:szCs w:val="21"/>
        </w:rPr>
        <w:t>地方标准。</w:t>
      </w:r>
      <w:r>
        <w:rPr>
          <w:rFonts w:hint="eastAsia" w:ascii="宋体" w:hAnsi="宋体" w:eastAsia="宋体" w:cs="宋体"/>
          <w:kern w:val="0"/>
          <w:szCs w:val="21"/>
          <w:lang w:val="en-US" w:eastAsia="zh-CN"/>
        </w:rPr>
        <w:t>查阅</w:t>
      </w:r>
      <w:r>
        <w:rPr>
          <w:rFonts w:hint="eastAsia" w:ascii="宋体" w:hAnsi="宋体" w:eastAsia="宋体" w:cs="宋体"/>
          <w:kern w:val="0"/>
          <w:szCs w:val="21"/>
        </w:rPr>
        <w:t>整理</w:t>
      </w:r>
      <w:r>
        <w:rPr>
          <w:rFonts w:hint="eastAsia" w:ascii="宋体" w:hAnsi="宋体" w:eastAsia="宋体" w:cs="宋体"/>
          <w:kern w:val="0"/>
          <w:szCs w:val="21"/>
          <w:lang w:val="en-US" w:eastAsia="zh-CN"/>
        </w:rPr>
        <w:t>了大量的</w:t>
      </w:r>
      <w:r>
        <w:rPr>
          <w:rFonts w:hint="eastAsia" w:ascii="宋体" w:hAnsi="宋体" w:eastAsia="宋体" w:cs="宋体"/>
          <w:kern w:val="0"/>
          <w:szCs w:val="21"/>
        </w:rPr>
        <w:t>相关文献资料</w:t>
      </w:r>
      <w:r>
        <w:rPr>
          <w:rFonts w:hint="eastAsia" w:ascii="宋体" w:hAnsi="宋体" w:eastAsia="宋体" w:cs="宋体"/>
          <w:kern w:val="0"/>
          <w:szCs w:val="21"/>
          <w:lang w:eastAsia="zh-CN"/>
        </w:rPr>
        <w:t>。</w:t>
      </w:r>
      <w:r>
        <w:rPr>
          <w:rFonts w:hint="eastAsia" w:ascii="宋体" w:hAnsi="宋体" w:eastAsia="宋体" w:cs="宋体"/>
          <w:kern w:val="0"/>
          <w:szCs w:val="21"/>
        </w:rPr>
        <w:t>确定</w:t>
      </w:r>
      <w:r>
        <w:rPr>
          <w:rFonts w:hint="eastAsia" w:ascii="宋体" w:hAnsi="宋体" w:eastAsia="宋体" w:cs="宋体"/>
          <w:kern w:val="0"/>
          <w:szCs w:val="21"/>
          <w:lang w:val="en-US" w:eastAsia="zh-CN"/>
        </w:rPr>
        <w:t>了</w:t>
      </w:r>
      <w:r>
        <w:rPr>
          <w:rFonts w:hint="eastAsia" w:ascii="宋体" w:hAnsi="宋体" w:eastAsia="宋体" w:cs="宋体"/>
          <w:kern w:val="0"/>
          <w:szCs w:val="21"/>
        </w:rPr>
        <w:t>标准编写目标和依据，积极开展《知识产权纠纷人民调解工作规范》的编制工作。</w:t>
      </w:r>
    </w:p>
    <w:p w14:paraId="4A5EED3A">
      <w:pPr>
        <w:pStyle w:val="8"/>
        <w:rPr>
          <w:rFonts w:ascii="宋体" w:hAnsi="宋体" w:eastAsia="宋体" w:cs="宋体"/>
          <w:kern w:val="0"/>
          <w:szCs w:val="21"/>
        </w:rPr>
      </w:pPr>
      <w:r>
        <w:rPr>
          <w:rFonts w:hint="eastAsia" w:ascii="宋体" w:hAnsi="宋体" w:eastAsia="宋体" w:cs="宋体"/>
          <w:kern w:val="0"/>
          <w:szCs w:val="21"/>
        </w:rPr>
        <w:t>（二</w:t>
      </w:r>
      <w:r>
        <w:rPr>
          <w:rFonts w:ascii="宋体" w:hAnsi="宋体" w:eastAsia="宋体" w:cs="宋体"/>
          <w:kern w:val="0"/>
          <w:szCs w:val="21"/>
        </w:rPr>
        <w:t>）</w:t>
      </w:r>
      <w:r>
        <w:rPr>
          <w:rFonts w:hint="eastAsia" w:ascii="宋体" w:hAnsi="宋体" w:eastAsia="宋体" w:cs="宋体"/>
          <w:kern w:val="0"/>
          <w:szCs w:val="21"/>
        </w:rPr>
        <w:t>立项</w:t>
      </w:r>
      <w:r>
        <w:rPr>
          <w:rFonts w:ascii="宋体" w:hAnsi="宋体" w:eastAsia="宋体" w:cs="宋体"/>
          <w:kern w:val="0"/>
          <w:szCs w:val="21"/>
        </w:rPr>
        <w:t>阶段</w:t>
      </w:r>
    </w:p>
    <w:p w14:paraId="6BC80771">
      <w:pPr>
        <w:pStyle w:val="8"/>
        <w:spacing w:line="360" w:lineRule="auto"/>
        <w:ind w:firstLine="630" w:firstLineChars="300"/>
        <w:rPr>
          <w:rFonts w:ascii="宋体" w:hAnsi="宋体" w:eastAsia="宋体" w:cs="宋体"/>
          <w:kern w:val="0"/>
          <w:szCs w:val="21"/>
        </w:rPr>
      </w:pPr>
      <w:r>
        <w:rPr>
          <w:rFonts w:hint="eastAsia" w:ascii="宋体" w:hAnsi="宋体" w:eastAsia="宋体" w:cs="宋体"/>
          <w:kern w:val="0"/>
          <w:szCs w:val="21"/>
        </w:rPr>
        <w:t>2024年2月，长春市市场监督管理局印发了《关于印发2024年长春市地方标准立项指南的通知》，下达了长春市地方标准制修订任</w:t>
      </w:r>
      <w:r>
        <w:rPr>
          <w:rFonts w:hint="eastAsia" w:ascii="宋体" w:hAnsi="宋体" w:eastAsia="宋体" w:cs="宋体"/>
          <w:color w:val="auto"/>
          <w:kern w:val="0"/>
          <w:szCs w:val="21"/>
        </w:rPr>
        <w:t>务。</w:t>
      </w:r>
      <w:r>
        <w:rPr>
          <w:rFonts w:hint="eastAsia" w:ascii="宋体" w:hAnsi="宋体" w:eastAsia="宋体" w:cs="宋体"/>
          <w:color w:val="auto"/>
          <w:kern w:val="0"/>
          <w:szCs w:val="21"/>
          <w:lang w:val="en-US" w:eastAsia="zh-CN"/>
        </w:rPr>
        <w:t>长春市知识产权局</w:t>
      </w:r>
      <w:r>
        <w:rPr>
          <w:rFonts w:hint="eastAsia" w:ascii="宋体" w:hAnsi="宋体" w:eastAsia="宋体" w:cs="宋体"/>
          <w:color w:val="auto"/>
          <w:kern w:val="0"/>
          <w:szCs w:val="21"/>
        </w:rPr>
        <w:t>向长春市市场监督</w:t>
      </w:r>
      <w:r>
        <w:rPr>
          <w:rFonts w:hint="eastAsia" w:ascii="宋体" w:hAnsi="宋体" w:eastAsia="宋体" w:cs="宋体"/>
          <w:kern w:val="0"/>
          <w:szCs w:val="21"/>
        </w:rPr>
        <w:t>管理局提出申请，申报《知识产权纠纷人民调解工作规范》。</w:t>
      </w:r>
    </w:p>
    <w:p w14:paraId="1BFA598C">
      <w:pPr>
        <w:pStyle w:val="8"/>
        <w:spacing w:line="360" w:lineRule="auto"/>
        <w:ind w:firstLine="630" w:firstLineChars="300"/>
        <w:rPr>
          <w:rFonts w:ascii="宋体" w:hAnsi="宋体" w:eastAsia="宋体" w:cs="宋体"/>
          <w:kern w:val="0"/>
          <w:szCs w:val="21"/>
        </w:rPr>
      </w:pPr>
      <w:r>
        <w:rPr>
          <w:rFonts w:ascii="宋体" w:hAnsi="宋体" w:eastAsia="宋体" w:cs="宋体"/>
          <w:kern w:val="0"/>
          <w:szCs w:val="21"/>
        </w:rPr>
        <w:t>2023</w:t>
      </w:r>
      <w:r>
        <w:rPr>
          <w:rFonts w:hint="eastAsia" w:ascii="宋体" w:hAnsi="宋体" w:eastAsia="宋体" w:cs="宋体"/>
          <w:kern w:val="0"/>
          <w:szCs w:val="21"/>
        </w:rPr>
        <w:t>年</w:t>
      </w:r>
      <w:r>
        <w:rPr>
          <w:rFonts w:hint="eastAsia" w:ascii="宋体" w:hAnsi="宋体" w:eastAsia="宋体" w:cs="宋体"/>
          <w:color w:val="auto"/>
          <w:kern w:val="0"/>
          <w:szCs w:val="21"/>
          <w:lang w:val="en-US" w:eastAsia="zh-CN"/>
        </w:rPr>
        <w:t>5</w:t>
      </w:r>
      <w:r>
        <w:rPr>
          <w:rFonts w:ascii="宋体" w:hAnsi="宋体" w:eastAsia="宋体" w:cs="宋体"/>
          <w:color w:val="auto"/>
          <w:kern w:val="0"/>
          <w:szCs w:val="21"/>
        </w:rPr>
        <w:t>月</w:t>
      </w:r>
      <w:r>
        <w:rPr>
          <w:rFonts w:hint="eastAsia" w:ascii="宋体" w:hAnsi="宋体" w:eastAsia="宋体" w:cs="宋体"/>
          <w:color w:val="auto"/>
          <w:kern w:val="0"/>
          <w:szCs w:val="21"/>
          <w:lang w:val="en-US" w:eastAsia="zh-CN"/>
        </w:rPr>
        <w:t>23日</w:t>
      </w:r>
      <w:r>
        <w:rPr>
          <w:rFonts w:ascii="宋体" w:hAnsi="宋体" w:eastAsia="宋体" w:cs="宋体"/>
          <w:color w:val="auto"/>
          <w:kern w:val="0"/>
          <w:szCs w:val="21"/>
        </w:rPr>
        <w:t>，</w:t>
      </w:r>
      <w:r>
        <w:rPr>
          <w:rFonts w:hint="eastAsia" w:ascii="宋体" w:hAnsi="宋体" w:eastAsia="宋体" w:cs="宋体"/>
          <w:kern w:val="0"/>
          <w:szCs w:val="21"/>
        </w:rPr>
        <w:t>长春市市场监督管理局下发《关于下达20</w:t>
      </w:r>
      <w:r>
        <w:rPr>
          <w:rFonts w:ascii="宋体" w:hAnsi="宋体" w:eastAsia="宋体" w:cs="宋体"/>
          <w:kern w:val="0"/>
          <w:szCs w:val="21"/>
        </w:rPr>
        <w:t>2</w:t>
      </w:r>
      <w:r>
        <w:rPr>
          <w:rFonts w:hint="eastAsia" w:ascii="宋体" w:hAnsi="宋体" w:eastAsia="宋体" w:cs="宋体"/>
          <w:kern w:val="0"/>
          <w:szCs w:val="21"/>
          <w:lang w:val="en-US" w:eastAsia="zh-CN"/>
        </w:rPr>
        <w:t>4</w:t>
      </w:r>
      <w:r>
        <w:rPr>
          <w:rFonts w:hint="eastAsia" w:ascii="宋体" w:hAnsi="宋体" w:eastAsia="宋体" w:cs="宋体"/>
          <w:kern w:val="0"/>
          <w:szCs w:val="21"/>
        </w:rPr>
        <w:t>年度长春市地方标准制定项目立项计划的通知》。《知识产权纠纷人民调解工作规范》地方标准正式获得批准立项。</w:t>
      </w:r>
    </w:p>
    <w:p w14:paraId="13FB8018">
      <w:pPr>
        <w:pStyle w:val="8"/>
        <w:spacing w:line="360" w:lineRule="auto"/>
        <w:rPr>
          <w:rFonts w:ascii="宋体" w:hAnsi="宋体" w:eastAsia="宋体" w:cs="宋体"/>
          <w:kern w:val="0"/>
          <w:szCs w:val="21"/>
        </w:rPr>
      </w:pPr>
      <w:r>
        <w:rPr>
          <w:rFonts w:hint="eastAsia" w:ascii="宋体" w:hAnsi="宋体" w:eastAsia="宋体" w:cs="宋体"/>
          <w:kern w:val="0"/>
          <w:szCs w:val="21"/>
        </w:rPr>
        <w:t>（三</w:t>
      </w:r>
      <w:r>
        <w:rPr>
          <w:rFonts w:ascii="宋体" w:hAnsi="宋体" w:eastAsia="宋体" w:cs="宋体"/>
          <w:kern w:val="0"/>
          <w:szCs w:val="21"/>
        </w:rPr>
        <w:t>）</w:t>
      </w:r>
      <w:r>
        <w:rPr>
          <w:rFonts w:hint="eastAsia" w:ascii="宋体" w:hAnsi="宋体" w:eastAsia="宋体" w:cs="宋体"/>
          <w:kern w:val="0"/>
          <w:szCs w:val="21"/>
        </w:rPr>
        <w:t>起草</w:t>
      </w:r>
      <w:r>
        <w:rPr>
          <w:rFonts w:ascii="宋体" w:hAnsi="宋体" w:eastAsia="宋体" w:cs="宋体"/>
          <w:kern w:val="0"/>
          <w:szCs w:val="21"/>
        </w:rPr>
        <w:t>阶段</w:t>
      </w:r>
    </w:p>
    <w:p w14:paraId="091F35D1">
      <w:pPr>
        <w:pStyle w:val="8"/>
        <w:spacing w:line="360" w:lineRule="auto"/>
        <w:jc w:val="left"/>
        <w:rPr>
          <w:rFonts w:hint="eastAsia" w:ascii="宋体" w:hAnsi="宋体" w:eastAsia="宋体" w:cs="宋体"/>
          <w:kern w:val="0"/>
          <w:szCs w:val="21"/>
        </w:rPr>
      </w:pPr>
      <w:r>
        <w:rPr>
          <w:rFonts w:hint="eastAsia" w:ascii="宋体" w:hAnsi="宋体" w:eastAsia="宋体" w:cs="宋体"/>
          <w:kern w:val="0"/>
          <w:szCs w:val="21"/>
        </w:rPr>
        <w:t>接到文件通知后，长春市知识产权保护中心和长春市标准研究院召开了关于起草《</w:t>
      </w:r>
      <w:r>
        <w:rPr>
          <w:rFonts w:hint="eastAsia" w:ascii="宋体" w:hAnsi="宋体" w:eastAsia="宋体" w:cs="宋体"/>
          <w:color w:val="auto"/>
          <w:kern w:val="0"/>
          <w:szCs w:val="21"/>
        </w:rPr>
        <w:t>知识产权纠纷人民调解工作规范</w:t>
      </w:r>
      <w:r>
        <w:rPr>
          <w:rFonts w:hint="eastAsia" w:ascii="宋体" w:hAnsi="宋体" w:eastAsia="宋体" w:cs="宋体"/>
          <w:kern w:val="0"/>
          <w:szCs w:val="21"/>
        </w:rPr>
        <w:t>》地方标准的任务落实会议。会上，确定了标准名称，成立了标准起草组（起草成员详见表1），明确了</w:t>
      </w:r>
      <w:r>
        <w:rPr>
          <w:rFonts w:hint="eastAsia" w:ascii="宋体" w:hAnsi="宋体" w:eastAsia="宋体" w:cs="宋体"/>
          <w:color w:val="auto"/>
          <w:kern w:val="0"/>
          <w:szCs w:val="21"/>
          <w:lang w:val="en-US" w:eastAsia="zh-CN"/>
        </w:rPr>
        <w:t>谷杰</w:t>
      </w:r>
      <w:r>
        <w:rPr>
          <w:rFonts w:hint="eastAsia" w:ascii="宋体" w:hAnsi="宋体" w:eastAsia="宋体" w:cs="宋体"/>
          <w:kern w:val="0"/>
          <w:szCs w:val="21"/>
        </w:rPr>
        <w:t>同志为项目负责人；向起草组成员分配了工作任务，标准起草工作正式启动。</w:t>
      </w:r>
    </w:p>
    <w:p w14:paraId="14775724">
      <w:pPr>
        <w:pStyle w:val="8"/>
        <w:spacing w:line="360" w:lineRule="auto"/>
        <w:jc w:val="left"/>
        <w:rPr>
          <w:rFonts w:hint="eastAsia" w:ascii="宋体" w:hAnsi="宋体" w:eastAsia="宋体" w:cs="宋体"/>
          <w:kern w:val="0"/>
          <w:szCs w:val="21"/>
        </w:rPr>
      </w:pPr>
      <w:r>
        <w:rPr>
          <w:rFonts w:hint="eastAsia" w:ascii="宋体" w:hAnsi="宋体" w:eastAsia="宋体" w:cs="宋体"/>
          <w:kern w:val="0"/>
          <w:szCs w:val="21"/>
        </w:rPr>
        <w:t>标准起草期间，起草组</w:t>
      </w:r>
      <w:r>
        <w:rPr>
          <w:rFonts w:hint="eastAsia" w:ascii="宋体" w:hAnsi="宋体" w:eastAsia="宋体" w:cs="宋体"/>
          <w:kern w:val="0"/>
          <w:szCs w:val="21"/>
          <w:lang w:val="en-US" w:eastAsia="zh-CN"/>
        </w:rPr>
        <w:t>结合</w:t>
      </w:r>
      <w:r>
        <w:rPr>
          <w:rFonts w:hint="eastAsia" w:ascii="宋体" w:hAnsi="宋体" w:eastAsia="宋体" w:cs="宋体"/>
          <w:kern w:val="0"/>
          <w:szCs w:val="21"/>
        </w:rPr>
        <w:t>前期调研成果</w:t>
      </w:r>
      <w:r>
        <w:rPr>
          <w:rFonts w:hint="eastAsia" w:ascii="宋体" w:hAnsi="宋体" w:eastAsia="宋体" w:cs="宋体"/>
          <w:kern w:val="0"/>
          <w:szCs w:val="21"/>
          <w:lang w:val="en-US" w:eastAsia="zh-CN"/>
        </w:rPr>
        <w:t>与</w:t>
      </w:r>
      <w:r>
        <w:rPr>
          <w:rFonts w:hint="eastAsia" w:ascii="宋体" w:hAnsi="宋体" w:eastAsia="宋体" w:cs="宋体"/>
          <w:kern w:val="0"/>
          <w:szCs w:val="21"/>
        </w:rPr>
        <w:t>查阅</w:t>
      </w:r>
      <w:r>
        <w:rPr>
          <w:rFonts w:hint="eastAsia" w:ascii="宋体" w:hAnsi="宋体" w:eastAsia="宋体" w:cs="宋体"/>
          <w:kern w:val="0"/>
          <w:szCs w:val="21"/>
          <w:lang w:val="en-US" w:eastAsia="zh-CN"/>
        </w:rPr>
        <w:t>到的</w:t>
      </w:r>
      <w:r>
        <w:rPr>
          <w:rFonts w:hint="eastAsia" w:ascii="宋体" w:hAnsi="宋体" w:eastAsia="宋体" w:cs="宋体"/>
          <w:kern w:val="0"/>
          <w:szCs w:val="21"/>
        </w:rPr>
        <w:t>相关国家法律法规、政策文件、国家标准、地方标准</w:t>
      </w:r>
      <w:r>
        <w:rPr>
          <w:rFonts w:hint="eastAsia" w:ascii="宋体" w:hAnsi="宋体" w:eastAsia="宋体" w:cs="宋体"/>
          <w:kern w:val="0"/>
          <w:szCs w:val="21"/>
          <w:lang w:val="en-US" w:eastAsia="zh-CN"/>
        </w:rPr>
        <w:t>等</w:t>
      </w:r>
      <w:r>
        <w:rPr>
          <w:rFonts w:hint="eastAsia" w:ascii="宋体" w:hAnsi="宋体" w:eastAsia="宋体" w:cs="宋体"/>
          <w:kern w:val="0"/>
          <w:szCs w:val="21"/>
        </w:rPr>
        <w:t>资料，按照GB/T 1.1-2020《标准化工作导则 第1部分：标准化文件的结构和起草规则》的要求起草了标准文本。</w:t>
      </w:r>
    </w:p>
    <w:p w14:paraId="7B992633">
      <w:pPr>
        <w:spacing w:line="360" w:lineRule="auto"/>
        <w:jc w:val="center"/>
        <w:rPr>
          <w:rFonts w:ascii="宋体" w:hAnsi="宋体" w:eastAsia="宋体" w:cs="宋体"/>
          <w:color w:val="FF0000"/>
          <w:szCs w:val="21"/>
        </w:rPr>
      </w:pPr>
      <w:r>
        <w:rPr>
          <w:rFonts w:hint="eastAsia" w:ascii="宋体" w:hAnsi="宋体" w:eastAsia="宋体" w:cs="宋体"/>
          <w:szCs w:val="21"/>
        </w:rPr>
        <w:t xml:space="preserve">表1 </w:t>
      </w:r>
      <w:r>
        <w:rPr>
          <w:rFonts w:hint="eastAsia" w:ascii="宋体" w:hAnsi="宋体" w:eastAsia="宋体" w:cs="宋体"/>
          <w:color w:val="auto"/>
          <w:szCs w:val="21"/>
        </w:rPr>
        <w:t xml:space="preserve"> 标准起草组人员构成表</w:t>
      </w:r>
    </w:p>
    <w:tbl>
      <w:tblPr>
        <w:tblStyle w:val="5"/>
        <w:tblW w:w="913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gridCol w:w="584"/>
        <w:gridCol w:w="1482"/>
        <w:gridCol w:w="1839"/>
        <w:gridCol w:w="1448"/>
        <w:gridCol w:w="2234"/>
      </w:tblGrid>
      <w:tr w14:paraId="609C9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8" w:hRule="atLeast"/>
          <w:tblHeader/>
        </w:trPr>
        <w:tc>
          <w:tcPr>
            <w:tcW w:w="648" w:type="dxa"/>
            <w:vAlign w:val="center"/>
          </w:tcPr>
          <w:p w14:paraId="4845CE5C">
            <w:pPr>
              <w:spacing w:line="360" w:lineRule="auto"/>
              <w:jc w:val="center"/>
              <w:rPr>
                <w:rFonts w:cs="Times New Roman" w:asciiTheme="minorEastAsia" w:hAnsiTheme="minorEastAsia"/>
                <w:sz w:val="18"/>
                <w:szCs w:val="18"/>
              </w:rPr>
            </w:pPr>
            <w:r>
              <w:rPr>
                <w:rFonts w:hint="eastAsia" w:cs="Times New Roman" w:asciiTheme="minorEastAsia" w:hAnsiTheme="minorEastAsia"/>
                <w:sz w:val="18"/>
                <w:szCs w:val="18"/>
              </w:rPr>
              <w:t>成员</w:t>
            </w:r>
          </w:p>
        </w:tc>
        <w:tc>
          <w:tcPr>
            <w:tcW w:w="900" w:type="dxa"/>
            <w:vAlign w:val="center"/>
          </w:tcPr>
          <w:p w14:paraId="284C3A84">
            <w:pPr>
              <w:pStyle w:val="8"/>
              <w:spacing w:line="240" w:lineRule="exact"/>
              <w:ind w:firstLine="0" w:firstLineChars="0"/>
              <w:jc w:val="center"/>
              <w:rPr>
                <w:rFonts w:ascii="宋体" w:hAnsi="宋体" w:eastAsia="宋体" w:cs="宋体"/>
                <w:kern w:val="0"/>
                <w:sz w:val="18"/>
                <w:szCs w:val="18"/>
              </w:rPr>
            </w:pPr>
            <w:r>
              <w:rPr>
                <w:rFonts w:ascii="宋体" w:hAnsi="宋体" w:eastAsia="宋体" w:cs="宋体"/>
                <w:kern w:val="0"/>
                <w:sz w:val="18"/>
                <w:szCs w:val="18"/>
              </w:rPr>
              <w:t>姓名</w:t>
            </w:r>
          </w:p>
        </w:tc>
        <w:tc>
          <w:tcPr>
            <w:tcW w:w="584" w:type="dxa"/>
            <w:vAlign w:val="center"/>
          </w:tcPr>
          <w:p w14:paraId="0482A4F8">
            <w:pPr>
              <w:pStyle w:val="8"/>
              <w:spacing w:line="240" w:lineRule="exact"/>
              <w:ind w:firstLine="0" w:firstLineChars="0"/>
              <w:jc w:val="center"/>
              <w:rPr>
                <w:rFonts w:ascii="宋体" w:hAnsi="宋体" w:eastAsia="宋体" w:cs="宋体"/>
                <w:kern w:val="0"/>
                <w:sz w:val="18"/>
                <w:szCs w:val="18"/>
              </w:rPr>
            </w:pPr>
            <w:r>
              <w:rPr>
                <w:rFonts w:ascii="宋体" w:hAnsi="宋体" w:eastAsia="宋体" w:cs="宋体"/>
                <w:kern w:val="0"/>
                <w:sz w:val="18"/>
                <w:szCs w:val="18"/>
              </w:rPr>
              <w:t>性别</w:t>
            </w:r>
          </w:p>
        </w:tc>
        <w:tc>
          <w:tcPr>
            <w:tcW w:w="1482" w:type="dxa"/>
            <w:vAlign w:val="center"/>
          </w:tcPr>
          <w:p w14:paraId="0D03327F">
            <w:pPr>
              <w:spacing w:line="240" w:lineRule="exact"/>
              <w:jc w:val="center"/>
              <w:rPr>
                <w:rFonts w:ascii="宋体" w:hAnsi="宋体" w:eastAsia="宋体" w:cs="宋体"/>
                <w:kern w:val="0"/>
                <w:sz w:val="18"/>
                <w:szCs w:val="18"/>
              </w:rPr>
            </w:pPr>
            <w:r>
              <w:rPr>
                <w:rFonts w:ascii="宋体" w:hAnsi="宋体" w:eastAsia="宋体" w:cs="宋体"/>
                <w:kern w:val="0"/>
                <w:sz w:val="18"/>
                <w:szCs w:val="18"/>
              </w:rPr>
              <w:t>专 业</w:t>
            </w:r>
          </w:p>
        </w:tc>
        <w:tc>
          <w:tcPr>
            <w:tcW w:w="1839" w:type="dxa"/>
            <w:vAlign w:val="center"/>
          </w:tcPr>
          <w:p w14:paraId="5C328B3E">
            <w:pPr>
              <w:spacing w:line="240" w:lineRule="exact"/>
              <w:jc w:val="center"/>
              <w:rPr>
                <w:rFonts w:ascii="宋体" w:hAnsi="宋体" w:eastAsia="宋体" w:cs="宋体"/>
                <w:kern w:val="0"/>
                <w:sz w:val="18"/>
                <w:szCs w:val="18"/>
              </w:rPr>
            </w:pPr>
            <w:r>
              <w:rPr>
                <w:rFonts w:ascii="宋体" w:hAnsi="宋体" w:eastAsia="宋体" w:cs="宋体"/>
                <w:kern w:val="0"/>
                <w:sz w:val="18"/>
                <w:szCs w:val="18"/>
              </w:rPr>
              <w:t>所 在 单 位</w:t>
            </w:r>
          </w:p>
        </w:tc>
        <w:tc>
          <w:tcPr>
            <w:tcW w:w="1448" w:type="dxa"/>
            <w:vAlign w:val="center"/>
          </w:tcPr>
          <w:p w14:paraId="6FBA5B81">
            <w:pPr>
              <w:pStyle w:val="8"/>
              <w:spacing w:line="240" w:lineRule="exact"/>
              <w:ind w:firstLine="0" w:firstLineChars="0"/>
              <w:jc w:val="center"/>
              <w:rPr>
                <w:rFonts w:ascii="宋体" w:hAnsi="宋体" w:eastAsia="宋体" w:cs="宋体"/>
                <w:kern w:val="0"/>
                <w:sz w:val="18"/>
                <w:szCs w:val="18"/>
              </w:rPr>
            </w:pPr>
            <w:r>
              <w:rPr>
                <w:rFonts w:ascii="宋体" w:hAnsi="宋体" w:eastAsia="宋体" w:cs="宋体"/>
                <w:kern w:val="0"/>
                <w:sz w:val="18"/>
                <w:szCs w:val="18"/>
              </w:rPr>
              <w:t>职务/职称</w:t>
            </w:r>
          </w:p>
        </w:tc>
        <w:tc>
          <w:tcPr>
            <w:tcW w:w="2234" w:type="dxa"/>
            <w:vAlign w:val="center"/>
          </w:tcPr>
          <w:p w14:paraId="0410D1BE">
            <w:pPr>
              <w:spacing w:line="240" w:lineRule="exact"/>
              <w:jc w:val="center"/>
              <w:rPr>
                <w:rFonts w:ascii="宋体" w:hAnsi="宋体" w:eastAsia="宋体" w:cs="宋体"/>
                <w:kern w:val="0"/>
                <w:sz w:val="18"/>
                <w:szCs w:val="18"/>
              </w:rPr>
            </w:pPr>
            <w:r>
              <w:rPr>
                <w:rFonts w:ascii="宋体" w:hAnsi="宋体" w:eastAsia="宋体" w:cs="宋体"/>
                <w:kern w:val="0"/>
                <w:sz w:val="18"/>
                <w:szCs w:val="18"/>
              </w:rPr>
              <w:t>主要任务</w:t>
            </w:r>
          </w:p>
        </w:tc>
      </w:tr>
      <w:tr w14:paraId="7BEE1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Align w:val="center"/>
          </w:tcPr>
          <w:p w14:paraId="4D669832">
            <w:pPr>
              <w:spacing w:line="360" w:lineRule="auto"/>
              <w:jc w:val="center"/>
              <w:rPr>
                <w:rFonts w:cs="Times New Roman" w:asciiTheme="minorEastAsia" w:hAnsiTheme="minorEastAsia"/>
                <w:sz w:val="18"/>
                <w:szCs w:val="18"/>
              </w:rPr>
            </w:pPr>
            <w:r>
              <w:rPr>
                <w:rFonts w:cs="Times New Roman" w:asciiTheme="minorEastAsia" w:hAnsiTheme="minorEastAsia"/>
                <w:sz w:val="18"/>
                <w:szCs w:val="18"/>
              </w:rPr>
              <w:t>组</w:t>
            </w:r>
            <w:r>
              <w:rPr>
                <w:rFonts w:hint="eastAsia" w:cs="Times New Roman" w:asciiTheme="minorEastAsia" w:hAnsiTheme="minorEastAsia"/>
                <w:sz w:val="18"/>
                <w:szCs w:val="18"/>
              </w:rPr>
              <w:t>长</w:t>
            </w:r>
          </w:p>
        </w:tc>
        <w:tc>
          <w:tcPr>
            <w:tcW w:w="900" w:type="dxa"/>
            <w:vAlign w:val="center"/>
          </w:tcPr>
          <w:p w14:paraId="5EA5282C">
            <w:pPr>
              <w:pStyle w:val="8"/>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谷杰</w:t>
            </w:r>
          </w:p>
        </w:tc>
        <w:tc>
          <w:tcPr>
            <w:tcW w:w="584" w:type="dxa"/>
            <w:vAlign w:val="center"/>
          </w:tcPr>
          <w:p w14:paraId="7D39F10D">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女</w:t>
            </w:r>
          </w:p>
        </w:tc>
        <w:tc>
          <w:tcPr>
            <w:tcW w:w="1482" w:type="dxa"/>
            <w:vAlign w:val="center"/>
          </w:tcPr>
          <w:p w14:paraId="3AE26A92">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生物化学和分子生物学</w:t>
            </w:r>
          </w:p>
        </w:tc>
        <w:tc>
          <w:tcPr>
            <w:tcW w:w="1839" w:type="dxa"/>
            <w:vAlign w:val="center"/>
          </w:tcPr>
          <w:p w14:paraId="6F58F9C7">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长春市知识产权保护中心</w:t>
            </w:r>
          </w:p>
        </w:tc>
        <w:tc>
          <w:tcPr>
            <w:tcW w:w="1448" w:type="dxa"/>
            <w:vAlign w:val="center"/>
          </w:tcPr>
          <w:p w14:paraId="16C73025">
            <w:pPr>
              <w:pStyle w:val="8"/>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主任/正高四级</w:t>
            </w:r>
          </w:p>
        </w:tc>
        <w:tc>
          <w:tcPr>
            <w:tcW w:w="2234" w:type="dxa"/>
            <w:vAlign w:val="center"/>
          </w:tcPr>
          <w:p w14:paraId="5F1C97F1">
            <w:pPr>
              <w:pStyle w:val="8"/>
              <w:spacing w:line="240" w:lineRule="exact"/>
              <w:ind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负责项目整体工作部署</w:t>
            </w:r>
          </w:p>
        </w:tc>
      </w:tr>
      <w:tr w14:paraId="2D2C9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Merge w:val="restart"/>
            <w:vAlign w:val="center"/>
          </w:tcPr>
          <w:p w14:paraId="33E9676F">
            <w:pPr>
              <w:spacing w:line="360" w:lineRule="auto"/>
              <w:jc w:val="center"/>
              <w:rPr>
                <w:rFonts w:cs="Times New Roman" w:asciiTheme="minorEastAsia" w:hAnsiTheme="minorEastAsia"/>
                <w:sz w:val="18"/>
                <w:szCs w:val="18"/>
              </w:rPr>
            </w:pPr>
            <w:r>
              <w:rPr>
                <w:rFonts w:hint="eastAsia" w:cs="Times New Roman" w:asciiTheme="minorEastAsia" w:hAnsiTheme="minorEastAsia"/>
                <w:sz w:val="18"/>
                <w:szCs w:val="18"/>
              </w:rPr>
              <w:t>组员</w:t>
            </w:r>
          </w:p>
        </w:tc>
        <w:tc>
          <w:tcPr>
            <w:tcW w:w="900" w:type="dxa"/>
            <w:vAlign w:val="center"/>
          </w:tcPr>
          <w:p w14:paraId="3185B05D">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王金玲</w:t>
            </w:r>
          </w:p>
        </w:tc>
        <w:tc>
          <w:tcPr>
            <w:tcW w:w="584" w:type="dxa"/>
            <w:vAlign w:val="center"/>
          </w:tcPr>
          <w:p w14:paraId="73CA0526">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女</w:t>
            </w:r>
          </w:p>
        </w:tc>
        <w:tc>
          <w:tcPr>
            <w:tcW w:w="1482" w:type="dxa"/>
            <w:vAlign w:val="center"/>
          </w:tcPr>
          <w:p w14:paraId="0C80477C">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汉语言文学</w:t>
            </w:r>
          </w:p>
        </w:tc>
        <w:tc>
          <w:tcPr>
            <w:tcW w:w="1839" w:type="dxa"/>
            <w:vAlign w:val="center"/>
          </w:tcPr>
          <w:p w14:paraId="024EC73E">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长春市知识产权保护中心</w:t>
            </w:r>
          </w:p>
        </w:tc>
        <w:tc>
          <w:tcPr>
            <w:tcW w:w="1448" w:type="dxa"/>
            <w:vAlign w:val="center"/>
          </w:tcPr>
          <w:p w14:paraId="03DF7A42">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副主任</w:t>
            </w:r>
          </w:p>
        </w:tc>
        <w:tc>
          <w:tcPr>
            <w:tcW w:w="2234" w:type="dxa"/>
            <w:vAlign w:val="center"/>
          </w:tcPr>
          <w:p w14:paraId="622FB1E6">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协助项目负责人开展工作</w:t>
            </w:r>
          </w:p>
        </w:tc>
      </w:tr>
      <w:tr w14:paraId="56DD5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Merge w:val="continue"/>
            <w:vAlign w:val="center"/>
          </w:tcPr>
          <w:p w14:paraId="10A8F117">
            <w:pPr>
              <w:spacing w:line="360" w:lineRule="auto"/>
              <w:jc w:val="center"/>
              <w:rPr>
                <w:rFonts w:cs="Times New Roman" w:asciiTheme="minorEastAsia" w:hAnsiTheme="minorEastAsia"/>
                <w:sz w:val="18"/>
                <w:szCs w:val="18"/>
              </w:rPr>
            </w:pPr>
          </w:p>
        </w:tc>
        <w:tc>
          <w:tcPr>
            <w:tcW w:w="900" w:type="dxa"/>
            <w:vAlign w:val="center"/>
          </w:tcPr>
          <w:p w14:paraId="151D9010">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邓贺</w:t>
            </w:r>
          </w:p>
        </w:tc>
        <w:tc>
          <w:tcPr>
            <w:tcW w:w="584" w:type="dxa"/>
            <w:vAlign w:val="center"/>
          </w:tcPr>
          <w:p w14:paraId="709B36AE">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女</w:t>
            </w:r>
          </w:p>
        </w:tc>
        <w:tc>
          <w:tcPr>
            <w:tcW w:w="1482" w:type="dxa"/>
            <w:vAlign w:val="center"/>
          </w:tcPr>
          <w:p w14:paraId="6CEC017B">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计算机、标准化</w:t>
            </w:r>
          </w:p>
        </w:tc>
        <w:tc>
          <w:tcPr>
            <w:tcW w:w="1839" w:type="dxa"/>
            <w:vAlign w:val="center"/>
          </w:tcPr>
          <w:p w14:paraId="6929FCB3">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长春市标准研究院（长春市WTO/TBT咨询中心）</w:t>
            </w:r>
          </w:p>
        </w:tc>
        <w:tc>
          <w:tcPr>
            <w:tcW w:w="1448" w:type="dxa"/>
            <w:vAlign w:val="center"/>
          </w:tcPr>
          <w:p w14:paraId="556CB11E">
            <w:pPr>
              <w:spacing w:line="240" w:lineRule="exact"/>
              <w:jc w:val="center"/>
              <w:rPr>
                <w:rFonts w:hint="default" w:ascii="宋体" w:hAnsi="宋体" w:eastAsia="宋体" w:cs="宋体"/>
                <w:kern w:val="0"/>
                <w:sz w:val="18"/>
                <w:szCs w:val="18"/>
                <w:lang w:val="en-US"/>
              </w:rPr>
            </w:pPr>
            <w:r>
              <w:rPr>
                <w:rFonts w:hint="eastAsia" w:ascii="宋体" w:hAnsi="宋体" w:eastAsia="宋体" w:cs="宋体"/>
                <w:kern w:val="0"/>
                <w:sz w:val="18"/>
                <w:szCs w:val="18"/>
                <w:lang w:val="en-US" w:eastAsia="zh-CN"/>
              </w:rPr>
              <w:t>专技八级</w:t>
            </w:r>
          </w:p>
        </w:tc>
        <w:tc>
          <w:tcPr>
            <w:tcW w:w="2234" w:type="dxa"/>
            <w:vAlign w:val="center"/>
          </w:tcPr>
          <w:p w14:paraId="1656A8C3">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rPr>
              <w:t>标准编写</w:t>
            </w:r>
          </w:p>
        </w:tc>
      </w:tr>
      <w:tr w14:paraId="4E7AA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6E98C6BA">
            <w:pPr>
              <w:spacing w:line="360" w:lineRule="auto"/>
              <w:jc w:val="center"/>
              <w:rPr>
                <w:rFonts w:cs="Times New Roman" w:asciiTheme="minorEastAsia" w:hAnsiTheme="minorEastAsia"/>
                <w:sz w:val="18"/>
                <w:szCs w:val="18"/>
              </w:rPr>
            </w:pPr>
          </w:p>
        </w:tc>
        <w:tc>
          <w:tcPr>
            <w:tcW w:w="900" w:type="dxa"/>
            <w:vAlign w:val="center"/>
          </w:tcPr>
          <w:p w14:paraId="76BD0CE3">
            <w:pPr>
              <w:pStyle w:val="8"/>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刘吉娜</w:t>
            </w:r>
          </w:p>
        </w:tc>
        <w:tc>
          <w:tcPr>
            <w:tcW w:w="584" w:type="dxa"/>
            <w:vAlign w:val="center"/>
          </w:tcPr>
          <w:p w14:paraId="1369EC04">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女</w:t>
            </w:r>
          </w:p>
        </w:tc>
        <w:tc>
          <w:tcPr>
            <w:tcW w:w="1482" w:type="dxa"/>
            <w:vAlign w:val="center"/>
          </w:tcPr>
          <w:p w14:paraId="4C94DF78">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法学</w:t>
            </w:r>
          </w:p>
        </w:tc>
        <w:tc>
          <w:tcPr>
            <w:tcW w:w="1839" w:type="dxa"/>
            <w:vAlign w:val="center"/>
          </w:tcPr>
          <w:p w14:paraId="317EFCDE">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长春市知识产权保护中心</w:t>
            </w:r>
          </w:p>
        </w:tc>
        <w:tc>
          <w:tcPr>
            <w:tcW w:w="1448" w:type="dxa"/>
            <w:vAlign w:val="center"/>
          </w:tcPr>
          <w:p w14:paraId="22CA67A6">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部长</w:t>
            </w:r>
          </w:p>
        </w:tc>
        <w:tc>
          <w:tcPr>
            <w:tcW w:w="2234" w:type="dxa"/>
            <w:vAlign w:val="center"/>
          </w:tcPr>
          <w:p w14:paraId="6F73C5E5">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负责资料归集整理</w:t>
            </w:r>
          </w:p>
        </w:tc>
      </w:tr>
      <w:tr w14:paraId="40BE7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39663975">
            <w:pPr>
              <w:spacing w:line="360" w:lineRule="auto"/>
              <w:jc w:val="center"/>
              <w:rPr>
                <w:rFonts w:cs="Times New Roman" w:asciiTheme="minorEastAsia" w:hAnsiTheme="minorEastAsia"/>
                <w:sz w:val="18"/>
                <w:szCs w:val="18"/>
              </w:rPr>
            </w:pPr>
          </w:p>
        </w:tc>
        <w:tc>
          <w:tcPr>
            <w:tcW w:w="900" w:type="dxa"/>
            <w:vAlign w:val="center"/>
          </w:tcPr>
          <w:p w14:paraId="2053E1C3">
            <w:pPr>
              <w:pStyle w:val="8"/>
              <w:spacing w:line="240" w:lineRule="exact"/>
              <w:ind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张春芝</w:t>
            </w:r>
          </w:p>
        </w:tc>
        <w:tc>
          <w:tcPr>
            <w:tcW w:w="584" w:type="dxa"/>
            <w:vAlign w:val="center"/>
          </w:tcPr>
          <w:p w14:paraId="5C75FDC0">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女</w:t>
            </w:r>
          </w:p>
        </w:tc>
        <w:tc>
          <w:tcPr>
            <w:tcW w:w="1482" w:type="dxa"/>
            <w:vAlign w:val="center"/>
          </w:tcPr>
          <w:p w14:paraId="1A269AE0">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民商法</w:t>
            </w:r>
          </w:p>
        </w:tc>
        <w:tc>
          <w:tcPr>
            <w:tcW w:w="1839" w:type="dxa"/>
            <w:vAlign w:val="center"/>
          </w:tcPr>
          <w:p w14:paraId="4ED83166">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长春市知识产权保护中心</w:t>
            </w:r>
          </w:p>
        </w:tc>
        <w:tc>
          <w:tcPr>
            <w:tcW w:w="1448" w:type="dxa"/>
            <w:vAlign w:val="center"/>
          </w:tcPr>
          <w:p w14:paraId="29FDBC25">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专技十一级</w:t>
            </w:r>
          </w:p>
        </w:tc>
        <w:tc>
          <w:tcPr>
            <w:tcW w:w="2234" w:type="dxa"/>
            <w:vAlign w:val="center"/>
          </w:tcPr>
          <w:p w14:paraId="3ED0041D">
            <w:pPr>
              <w:pStyle w:val="8"/>
              <w:spacing w:line="240" w:lineRule="exact"/>
              <w:ind w:firstLine="0" w:firstLineChars="0"/>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负责资料归集整理</w:t>
            </w:r>
          </w:p>
        </w:tc>
      </w:tr>
      <w:tr w14:paraId="2512B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648" w:type="dxa"/>
            <w:vMerge w:val="continue"/>
            <w:vAlign w:val="center"/>
          </w:tcPr>
          <w:p w14:paraId="7C6BB0B0">
            <w:pPr>
              <w:spacing w:line="360" w:lineRule="auto"/>
              <w:jc w:val="center"/>
              <w:rPr>
                <w:rFonts w:cs="Times New Roman" w:asciiTheme="minorEastAsia" w:hAnsiTheme="minorEastAsia"/>
                <w:sz w:val="18"/>
                <w:szCs w:val="18"/>
              </w:rPr>
            </w:pPr>
          </w:p>
        </w:tc>
        <w:tc>
          <w:tcPr>
            <w:tcW w:w="900" w:type="dxa"/>
            <w:vAlign w:val="center"/>
          </w:tcPr>
          <w:p w14:paraId="61F0E3CC">
            <w:pPr>
              <w:spacing w:line="240" w:lineRule="exact"/>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侯美含</w:t>
            </w:r>
          </w:p>
        </w:tc>
        <w:tc>
          <w:tcPr>
            <w:tcW w:w="584" w:type="dxa"/>
            <w:vAlign w:val="center"/>
          </w:tcPr>
          <w:p w14:paraId="53B02270">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女</w:t>
            </w:r>
          </w:p>
        </w:tc>
        <w:tc>
          <w:tcPr>
            <w:tcW w:w="1482" w:type="dxa"/>
            <w:vAlign w:val="center"/>
          </w:tcPr>
          <w:p w14:paraId="3AEB722D">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经济法</w:t>
            </w:r>
          </w:p>
        </w:tc>
        <w:tc>
          <w:tcPr>
            <w:tcW w:w="1839" w:type="dxa"/>
            <w:vAlign w:val="center"/>
          </w:tcPr>
          <w:p w14:paraId="7FBEC18D">
            <w:pPr>
              <w:spacing w:line="240" w:lineRule="exact"/>
              <w:jc w:val="center"/>
              <w:rPr>
                <w:rFonts w:ascii="宋体" w:hAnsi="宋体" w:eastAsia="宋体" w:cs="宋体"/>
                <w:kern w:val="0"/>
                <w:sz w:val="18"/>
                <w:szCs w:val="18"/>
              </w:rPr>
            </w:pPr>
            <w:r>
              <w:rPr>
                <w:rFonts w:hint="eastAsia" w:ascii="宋体" w:hAnsi="宋体" w:eastAsia="宋体" w:cs="宋体"/>
                <w:kern w:val="0"/>
                <w:sz w:val="18"/>
                <w:szCs w:val="18"/>
                <w:lang w:val="en-US" w:eastAsia="zh-CN"/>
              </w:rPr>
              <w:t>长春市知识产权保护中心</w:t>
            </w:r>
          </w:p>
        </w:tc>
        <w:tc>
          <w:tcPr>
            <w:tcW w:w="1448" w:type="dxa"/>
            <w:vAlign w:val="center"/>
          </w:tcPr>
          <w:p w14:paraId="0B3E9AD8">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专技十三级</w:t>
            </w:r>
          </w:p>
        </w:tc>
        <w:tc>
          <w:tcPr>
            <w:tcW w:w="2234" w:type="dxa"/>
            <w:vAlign w:val="center"/>
          </w:tcPr>
          <w:p w14:paraId="32D08878">
            <w:pPr>
              <w:spacing w:line="240" w:lineRule="exact"/>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负责资料归集整理</w:t>
            </w:r>
          </w:p>
        </w:tc>
      </w:tr>
      <w:tr w14:paraId="64A4BA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48" w:type="dxa"/>
            <w:vMerge w:val="continue"/>
            <w:vAlign w:val="center"/>
          </w:tcPr>
          <w:p w14:paraId="67669BC5">
            <w:pPr>
              <w:spacing w:line="360" w:lineRule="auto"/>
              <w:jc w:val="center"/>
              <w:rPr>
                <w:rFonts w:cs="Times New Roman" w:asciiTheme="minorEastAsia" w:hAnsiTheme="minorEastAsia"/>
                <w:sz w:val="18"/>
                <w:szCs w:val="18"/>
              </w:rPr>
            </w:pPr>
          </w:p>
        </w:tc>
        <w:tc>
          <w:tcPr>
            <w:tcW w:w="900" w:type="dxa"/>
            <w:vAlign w:val="center"/>
          </w:tcPr>
          <w:p w14:paraId="52D86583">
            <w:pPr>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任宗悦</w:t>
            </w:r>
          </w:p>
        </w:tc>
        <w:tc>
          <w:tcPr>
            <w:tcW w:w="584" w:type="dxa"/>
            <w:vAlign w:val="center"/>
          </w:tcPr>
          <w:p w14:paraId="1A394104">
            <w:pPr>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女</w:t>
            </w:r>
          </w:p>
        </w:tc>
        <w:tc>
          <w:tcPr>
            <w:tcW w:w="1482" w:type="dxa"/>
            <w:vAlign w:val="center"/>
          </w:tcPr>
          <w:p w14:paraId="2CED5711">
            <w:pPr>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地图学与地理信息系统</w:t>
            </w:r>
          </w:p>
        </w:tc>
        <w:tc>
          <w:tcPr>
            <w:tcW w:w="1839" w:type="dxa"/>
            <w:vAlign w:val="center"/>
          </w:tcPr>
          <w:p w14:paraId="41E0AF69">
            <w:pPr>
              <w:pStyle w:val="8"/>
              <w:spacing w:line="240" w:lineRule="exact"/>
              <w:ind w:firstLine="0" w:firstLine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长春市标准研究院（长春市WTO/TBT咨询中心）</w:t>
            </w:r>
          </w:p>
        </w:tc>
        <w:tc>
          <w:tcPr>
            <w:tcW w:w="1448" w:type="dxa"/>
            <w:vAlign w:val="center"/>
          </w:tcPr>
          <w:p w14:paraId="647052B6">
            <w:pPr>
              <w:spacing w:line="240" w:lineRule="exact"/>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eastAsia="zh-CN"/>
              </w:rPr>
              <w:t>专技</w:t>
            </w:r>
            <w:r>
              <w:rPr>
                <w:rFonts w:hint="eastAsia" w:ascii="宋体" w:hAnsi="宋体" w:eastAsia="宋体" w:cs="宋体"/>
                <w:kern w:val="0"/>
                <w:sz w:val="18"/>
                <w:szCs w:val="18"/>
                <w:lang w:val="en-US" w:eastAsia="zh-CN"/>
              </w:rPr>
              <w:t>十二</w:t>
            </w:r>
            <w:r>
              <w:rPr>
                <w:rFonts w:hint="eastAsia" w:ascii="宋体" w:hAnsi="宋体" w:eastAsia="宋体" w:cs="宋体"/>
                <w:kern w:val="0"/>
                <w:sz w:val="18"/>
                <w:szCs w:val="18"/>
                <w:lang w:eastAsia="zh-CN"/>
              </w:rPr>
              <w:t>级</w:t>
            </w:r>
          </w:p>
        </w:tc>
        <w:tc>
          <w:tcPr>
            <w:tcW w:w="2234" w:type="dxa"/>
            <w:vAlign w:val="center"/>
          </w:tcPr>
          <w:p w14:paraId="0C758121">
            <w:pPr>
              <w:spacing w:line="240" w:lineRule="exact"/>
              <w:jc w:val="center"/>
              <w:rPr>
                <w:rFonts w:ascii="宋体" w:hAnsi="宋体" w:eastAsia="宋体" w:cs="宋体"/>
                <w:kern w:val="0"/>
                <w:sz w:val="18"/>
                <w:szCs w:val="18"/>
                <w:lang w:val="en-US" w:eastAsia="zh-CN" w:bidi="ar-SA"/>
              </w:rPr>
            </w:pPr>
            <w:r>
              <w:rPr>
                <w:rFonts w:hint="eastAsia" w:ascii="宋体" w:hAnsi="宋体" w:eastAsia="宋体" w:cs="宋体"/>
                <w:kern w:val="0"/>
                <w:sz w:val="18"/>
                <w:szCs w:val="18"/>
              </w:rPr>
              <w:t>标准查新</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材料整理</w:t>
            </w:r>
          </w:p>
        </w:tc>
      </w:tr>
      <w:tr w14:paraId="7BE53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4324CBD8">
            <w:pPr>
              <w:spacing w:line="360" w:lineRule="auto"/>
              <w:jc w:val="center"/>
              <w:rPr>
                <w:rFonts w:cs="Times New Roman" w:asciiTheme="minorEastAsia" w:hAnsiTheme="minorEastAsia"/>
                <w:sz w:val="18"/>
                <w:szCs w:val="18"/>
              </w:rPr>
            </w:pPr>
          </w:p>
        </w:tc>
        <w:tc>
          <w:tcPr>
            <w:tcW w:w="900" w:type="dxa"/>
            <w:vAlign w:val="center"/>
          </w:tcPr>
          <w:p w14:paraId="2E7DAEE8">
            <w:pPr>
              <w:pStyle w:val="8"/>
              <w:spacing w:line="240" w:lineRule="exact"/>
              <w:ind w:firstLine="0" w:firstLineChars="0"/>
              <w:jc w:val="center"/>
              <w:rPr>
                <w:rFonts w:ascii="宋体" w:hAnsi="宋体" w:eastAsia="宋体" w:cs="宋体"/>
                <w:kern w:val="0"/>
                <w:sz w:val="18"/>
                <w:szCs w:val="18"/>
              </w:rPr>
            </w:pPr>
          </w:p>
        </w:tc>
        <w:tc>
          <w:tcPr>
            <w:tcW w:w="584" w:type="dxa"/>
            <w:vAlign w:val="center"/>
          </w:tcPr>
          <w:p w14:paraId="24EF4159">
            <w:pPr>
              <w:spacing w:line="240" w:lineRule="exact"/>
              <w:jc w:val="center"/>
              <w:rPr>
                <w:rFonts w:ascii="宋体" w:hAnsi="宋体" w:eastAsia="宋体" w:cs="宋体"/>
                <w:kern w:val="0"/>
                <w:sz w:val="18"/>
                <w:szCs w:val="18"/>
              </w:rPr>
            </w:pPr>
          </w:p>
        </w:tc>
        <w:tc>
          <w:tcPr>
            <w:tcW w:w="1482" w:type="dxa"/>
            <w:vAlign w:val="center"/>
          </w:tcPr>
          <w:p w14:paraId="363C5E53">
            <w:pPr>
              <w:spacing w:line="240" w:lineRule="exact"/>
              <w:jc w:val="center"/>
              <w:rPr>
                <w:rFonts w:ascii="宋体" w:hAnsi="宋体" w:eastAsia="宋体" w:cs="宋体"/>
                <w:kern w:val="0"/>
                <w:sz w:val="18"/>
                <w:szCs w:val="18"/>
              </w:rPr>
            </w:pPr>
          </w:p>
        </w:tc>
        <w:tc>
          <w:tcPr>
            <w:tcW w:w="1839" w:type="dxa"/>
            <w:vAlign w:val="center"/>
          </w:tcPr>
          <w:p w14:paraId="4B23B335">
            <w:pPr>
              <w:spacing w:line="240" w:lineRule="exact"/>
              <w:jc w:val="center"/>
              <w:rPr>
                <w:rFonts w:ascii="宋体" w:hAnsi="宋体" w:eastAsia="宋体" w:cs="宋体"/>
                <w:kern w:val="0"/>
                <w:sz w:val="18"/>
                <w:szCs w:val="18"/>
              </w:rPr>
            </w:pPr>
          </w:p>
        </w:tc>
        <w:tc>
          <w:tcPr>
            <w:tcW w:w="1448" w:type="dxa"/>
            <w:vAlign w:val="center"/>
          </w:tcPr>
          <w:p w14:paraId="77CD0D36">
            <w:pPr>
              <w:spacing w:line="240" w:lineRule="exact"/>
              <w:jc w:val="center"/>
              <w:rPr>
                <w:rFonts w:ascii="宋体" w:hAnsi="宋体" w:eastAsia="宋体" w:cs="宋体"/>
                <w:kern w:val="0"/>
                <w:sz w:val="18"/>
                <w:szCs w:val="18"/>
              </w:rPr>
            </w:pPr>
          </w:p>
        </w:tc>
        <w:tc>
          <w:tcPr>
            <w:tcW w:w="2234" w:type="dxa"/>
            <w:vAlign w:val="center"/>
          </w:tcPr>
          <w:p w14:paraId="66270BE9">
            <w:pPr>
              <w:pStyle w:val="8"/>
              <w:spacing w:line="240" w:lineRule="exact"/>
              <w:ind w:firstLine="0" w:firstLineChars="0"/>
              <w:jc w:val="center"/>
              <w:rPr>
                <w:rFonts w:ascii="宋体" w:hAnsi="宋体" w:eastAsia="宋体" w:cs="宋体"/>
                <w:kern w:val="0"/>
                <w:sz w:val="18"/>
                <w:szCs w:val="18"/>
              </w:rPr>
            </w:pPr>
          </w:p>
        </w:tc>
      </w:tr>
      <w:tr w14:paraId="24A80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648" w:type="dxa"/>
            <w:vMerge w:val="continue"/>
            <w:vAlign w:val="center"/>
          </w:tcPr>
          <w:p w14:paraId="0DE45886">
            <w:pPr>
              <w:spacing w:line="360" w:lineRule="auto"/>
              <w:jc w:val="center"/>
              <w:rPr>
                <w:rFonts w:cs="Times New Roman" w:asciiTheme="minorEastAsia" w:hAnsiTheme="minorEastAsia"/>
                <w:sz w:val="18"/>
                <w:szCs w:val="18"/>
              </w:rPr>
            </w:pPr>
          </w:p>
        </w:tc>
        <w:tc>
          <w:tcPr>
            <w:tcW w:w="900" w:type="dxa"/>
            <w:vAlign w:val="center"/>
          </w:tcPr>
          <w:p w14:paraId="65DADECE">
            <w:pPr>
              <w:spacing w:line="240" w:lineRule="exact"/>
              <w:jc w:val="center"/>
              <w:rPr>
                <w:rFonts w:ascii="宋体" w:hAnsi="宋体" w:eastAsia="宋体" w:cs="宋体"/>
                <w:kern w:val="0"/>
                <w:sz w:val="18"/>
                <w:szCs w:val="18"/>
              </w:rPr>
            </w:pPr>
          </w:p>
        </w:tc>
        <w:tc>
          <w:tcPr>
            <w:tcW w:w="584" w:type="dxa"/>
            <w:vAlign w:val="center"/>
          </w:tcPr>
          <w:p w14:paraId="524837E6">
            <w:pPr>
              <w:spacing w:line="240" w:lineRule="exact"/>
              <w:jc w:val="center"/>
              <w:rPr>
                <w:rFonts w:ascii="宋体" w:hAnsi="宋体" w:eastAsia="宋体" w:cs="宋体"/>
                <w:kern w:val="0"/>
                <w:sz w:val="18"/>
                <w:szCs w:val="18"/>
              </w:rPr>
            </w:pPr>
          </w:p>
        </w:tc>
        <w:tc>
          <w:tcPr>
            <w:tcW w:w="1482" w:type="dxa"/>
            <w:vAlign w:val="center"/>
          </w:tcPr>
          <w:p w14:paraId="67F690BF">
            <w:pPr>
              <w:spacing w:line="240" w:lineRule="exact"/>
              <w:jc w:val="center"/>
              <w:rPr>
                <w:rFonts w:ascii="宋体" w:hAnsi="宋体" w:eastAsia="宋体" w:cs="宋体"/>
                <w:kern w:val="0"/>
                <w:sz w:val="18"/>
                <w:szCs w:val="18"/>
              </w:rPr>
            </w:pPr>
          </w:p>
        </w:tc>
        <w:tc>
          <w:tcPr>
            <w:tcW w:w="1839" w:type="dxa"/>
            <w:vAlign w:val="center"/>
          </w:tcPr>
          <w:p w14:paraId="10DD5CF1">
            <w:pPr>
              <w:spacing w:line="240" w:lineRule="exact"/>
              <w:jc w:val="center"/>
              <w:rPr>
                <w:rFonts w:ascii="宋体" w:hAnsi="宋体" w:eastAsia="宋体" w:cs="宋体"/>
                <w:kern w:val="0"/>
                <w:sz w:val="18"/>
                <w:szCs w:val="18"/>
              </w:rPr>
            </w:pPr>
          </w:p>
        </w:tc>
        <w:tc>
          <w:tcPr>
            <w:tcW w:w="1448" w:type="dxa"/>
            <w:vAlign w:val="center"/>
          </w:tcPr>
          <w:p w14:paraId="6CE65A86">
            <w:pPr>
              <w:spacing w:line="240" w:lineRule="exact"/>
              <w:jc w:val="center"/>
              <w:rPr>
                <w:rFonts w:ascii="宋体" w:hAnsi="宋体" w:eastAsia="宋体" w:cs="宋体"/>
                <w:kern w:val="0"/>
                <w:sz w:val="18"/>
                <w:szCs w:val="18"/>
              </w:rPr>
            </w:pPr>
          </w:p>
        </w:tc>
        <w:tc>
          <w:tcPr>
            <w:tcW w:w="2234" w:type="dxa"/>
            <w:vAlign w:val="center"/>
          </w:tcPr>
          <w:p w14:paraId="6C589686">
            <w:pPr>
              <w:jc w:val="center"/>
              <w:rPr>
                <w:rFonts w:ascii="宋体" w:hAnsi="宋体" w:eastAsia="宋体" w:cs="宋体"/>
                <w:kern w:val="0"/>
                <w:sz w:val="18"/>
                <w:szCs w:val="18"/>
              </w:rPr>
            </w:pPr>
          </w:p>
        </w:tc>
      </w:tr>
      <w:tr w14:paraId="0183E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648" w:type="dxa"/>
            <w:vMerge w:val="continue"/>
            <w:vAlign w:val="center"/>
          </w:tcPr>
          <w:p w14:paraId="7EDAAEED">
            <w:pPr>
              <w:spacing w:line="360" w:lineRule="auto"/>
              <w:jc w:val="center"/>
              <w:rPr>
                <w:rFonts w:cs="Times New Roman" w:asciiTheme="minorEastAsia" w:hAnsiTheme="minorEastAsia"/>
                <w:sz w:val="18"/>
                <w:szCs w:val="18"/>
              </w:rPr>
            </w:pPr>
          </w:p>
        </w:tc>
        <w:tc>
          <w:tcPr>
            <w:tcW w:w="900" w:type="dxa"/>
            <w:vAlign w:val="center"/>
          </w:tcPr>
          <w:p w14:paraId="5F465DBE">
            <w:pPr>
              <w:spacing w:line="240" w:lineRule="exact"/>
              <w:jc w:val="center"/>
              <w:rPr>
                <w:rFonts w:ascii="宋体" w:hAnsi="宋体" w:eastAsia="宋体" w:cs="宋体"/>
                <w:kern w:val="0"/>
                <w:sz w:val="18"/>
                <w:szCs w:val="18"/>
              </w:rPr>
            </w:pPr>
          </w:p>
        </w:tc>
        <w:tc>
          <w:tcPr>
            <w:tcW w:w="584" w:type="dxa"/>
            <w:vAlign w:val="center"/>
          </w:tcPr>
          <w:p w14:paraId="28EBC8C7">
            <w:pPr>
              <w:spacing w:line="240" w:lineRule="exact"/>
              <w:jc w:val="center"/>
              <w:rPr>
                <w:rFonts w:ascii="宋体" w:hAnsi="宋体" w:eastAsia="宋体" w:cs="宋体"/>
                <w:kern w:val="0"/>
                <w:sz w:val="18"/>
                <w:szCs w:val="18"/>
              </w:rPr>
            </w:pPr>
          </w:p>
        </w:tc>
        <w:tc>
          <w:tcPr>
            <w:tcW w:w="1482" w:type="dxa"/>
            <w:vAlign w:val="center"/>
          </w:tcPr>
          <w:p w14:paraId="22892937">
            <w:pPr>
              <w:spacing w:line="240" w:lineRule="exact"/>
              <w:jc w:val="center"/>
              <w:rPr>
                <w:rFonts w:ascii="宋体" w:hAnsi="宋体" w:eastAsia="宋体" w:cs="宋体"/>
                <w:kern w:val="0"/>
                <w:sz w:val="18"/>
                <w:szCs w:val="18"/>
              </w:rPr>
            </w:pPr>
          </w:p>
        </w:tc>
        <w:tc>
          <w:tcPr>
            <w:tcW w:w="1839" w:type="dxa"/>
            <w:vAlign w:val="center"/>
          </w:tcPr>
          <w:p w14:paraId="548E1659">
            <w:pPr>
              <w:spacing w:line="240" w:lineRule="exact"/>
              <w:jc w:val="center"/>
              <w:rPr>
                <w:rFonts w:ascii="宋体" w:hAnsi="宋体" w:eastAsia="宋体" w:cs="宋体"/>
                <w:kern w:val="0"/>
                <w:sz w:val="18"/>
                <w:szCs w:val="18"/>
              </w:rPr>
            </w:pPr>
          </w:p>
        </w:tc>
        <w:tc>
          <w:tcPr>
            <w:tcW w:w="1448" w:type="dxa"/>
            <w:vAlign w:val="center"/>
          </w:tcPr>
          <w:p w14:paraId="7EA32BC7">
            <w:pPr>
              <w:spacing w:line="240" w:lineRule="exact"/>
              <w:jc w:val="center"/>
              <w:rPr>
                <w:rFonts w:ascii="宋体" w:hAnsi="宋体" w:eastAsia="宋体" w:cs="宋体"/>
                <w:kern w:val="0"/>
                <w:sz w:val="18"/>
                <w:szCs w:val="18"/>
              </w:rPr>
            </w:pPr>
          </w:p>
        </w:tc>
        <w:tc>
          <w:tcPr>
            <w:tcW w:w="2234" w:type="dxa"/>
            <w:vAlign w:val="center"/>
          </w:tcPr>
          <w:p w14:paraId="4CA95428">
            <w:pPr>
              <w:jc w:val="center"/>
              <w:rPr>
                <w:rFonts w:ascii="宋体" w:hAnsi="宋体" w:eastAsia="宋体" w:cs="宋体"/>
                <w:kern w:val="0"/>
                <w:sz w:val="18"/>
                <w:szCs w:val="18"/>
              </w:rPr>
            </w:pPr>
          </w:p>
        </w:tc>
      </w:tr>
    </w:tbl>
    <w:p w14:paraId="215DA913">
      <w:pPr>
        <w:pStyle w:val="8"/>
        <w:spacing w:line="360" w:lineRule="auto"/>
        <w:rPr>
          <w:rFonts w:ascii="宋体" w:hAnsi="宋体" w:eastAsia="宋体" w:cs="宋体"/>
          <w:kern w:val="0"/>
          <w:szCs w:val="21"/>
        </w:rPr>
      </w:pPr>
      <w:r>
        <w:rPr>
          <w:rFonts w:hint="eastAsia" w:ascii="宋体" w:hAnsi="宋体" w:eastAsia="宋体" w:cs="宋体"/>
          <w:kern w:val="0"/>
          <w:szCs w:val="21"/>
        </w:rPr>
        <w:t>（四</w:t>
      </w:r>
      <w:r>
        <w:rPr>
          <w:rFonts w:ascii="宋体" w:hAnsi="宋体" w:eastAsia="宋体" w:cs="宋体"/>
          <w:kern w:val="0"/>
          <w:szCs w:val="21"/>
        </w:rPr>
        <w:t>）</w:t>
      </w:r>
      <w:r>
        <w:rPr>
          <w:rFonts w:hint="eastAsia" w:ascii="宋体" w:hAnsi="宋体" w:eastAsia="宋体" w:cs="宋体"/>
          <w:kern w:val="0"/>
          <w:szCs w:val="21"/>
        </w:rPr>
        <w:t>征求</w:t>
      </w:r>
      <w:r>
        <w:rPr>
          <w:rFonts w:ascii="宋体" w:hAnsi="宋体" w:eastAsia="宋体" w:cs="宋体"/>
          <w:kern w:val="0"/>
          <w:szCs w:val="21"/>
        </w:rPr>
        <w:t>意见阶段</w:t>
      </w:r>
    </w:p>
    <w:p w14:paraId="424D28A4">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w:t>
      </w:r>
      <w:r>
        <w:rPr>
          <w:rFonts w:hint="eastAsia" w:ascii="宋体" w:hAnsi="宋体" w:eastAsia="宋体"/>
          <w:kern w:val="0"/>
          <w:szCs w:val="21"/>
          <w:lang w:eastAsia="zh-CN"/>
        </w:rPr>
        <w:t>.</w:t>
      </w:r>
      <w:r>
        <w:rPr>
          <w:rFonts w:hint="eastAsia" w:ascii="宋体" w:hAnsi="宋体" w:eastAsia="宋体"/>
          <w:kern w:val="0"/>
          <w:szCs w:val="21"/>
        </w:rPr>
        <w:t>网上公示征求意见</w:t>
      </w:r>
    </w:p>
    <w:p w14:paraId="3B496E23">
      <w:pPr>
        <w:spacing w:line="360" w:lineRule="auto"/>
        <w:ind w:firstLine="420" w:firstLineChars="200"/>
        <w:rPr>
          <w:rFonts w:ascii="宋体" w:hAnsi="宋体" w:eastAsia="宋体"/>
          <w:kern w:val="0"/>
          <w:szCs w:val="21"/>
        </w:rPr>
      </w:pPr>
      <w:r>
        <w:rPr>
          <w:rFonts w:hint="eastAsia" w:ascii="宋体" w:hAnsi="宋体" w:eastAsia="宋体"/>
          <w:kern w:val="0"/>
          <w:szCs w:val="21"/>
        </w:rPr>
        <w:t>根据《地方标准管理办法》有关要求，202</w:t>
      </w:r>
      <w:r>
        <w:rPr>
          <w:rFonts w:hint="eastAsia" w:ascii="宋体" w:hAnsi="宋体" w:eastAsia="宋体"/>
          <w:kern w:val="0"/>
          <w:szCs w:val="21"/>
          <w:lang w:val="en-US" w:eastAsia="zh-CN"/>
        </w:rPr>
        <w:t>4</w:t>
      </w:r>
      <w:r>
        <w:rPr>
          <w:rFonts w:hint="eastAsia" w:ascii="宋体" w:hAnsi="宋体" w:eastAsia="宋体"/>
          <w:kern w:val="0"/>
          <w:szCs w:val="21"/>
        </w:rPr>
        <w:t>年</w:t>
      </w:r>
      <w:r>
        <w:rPr>
          <w:rFonts w:hint="eastAsia" w:ascii="宋体" w:hAnsi="宋体" w:eastAsia="宋体"/>
          <w:kern w:val="0"/>
          <w:szCs w:val="21"/>
          <w:lang w:val="en-US" w:eastAsia="zh-CN"/>
        </w:rPr>
        <w:t>XX</w:t>
      </w:r>
      <w:r>
        <w:rPr>
          <w:rFonts w:hint="eastAsia" w:ascii="宋体" w:hAnsi="宋体" w:eastAsia="宋体"/>
          <w:kern w:val="0"/>
          <w:szCs w:val="21"/>
        </w:rPr>
        <w:t>月</w:t>
      </w:r>
      <w:r>
        <w:rPr>
          <w:rFonts w:hint="eastAsia" w:ascii="宋体" w:hAnsi="宋体" w:eastAsia="宋体"/>
          <w:kern w:val="0"/>
          <w:szCs w:val="21"/>
          <w:lang w:val="en-US" w:eastAsia="zh-CN"/>
        </w:rPr>
        <w:t>XX</w:t>
      </w:r>
      <w:r>
        <w:rPr>
          <w:rFonts w:hint="eastAsia" w:ascii="宋体" w:hAnsi="宋体" w:eastAsia="宋体"/>
          <w:kern w:val="0"/>
          <w:szCs w:val="21"/>
        </w:rPr>
        <w:t>日至202</w:t>
      </w:r>
      <w:r>
        <w:rPr>
          <w:rFonts w:hint="eastAsia" w:ascii="宋体" w:hAnsi="宋体" w:eastAsia="宋体"/>
          <w:kern w:val="0"/>
          <w:szCs w:val="21"/>
          <w:lang w:val="en-US" w:eastAsia="zh-CN"/>
        </w:rPr>
        <w:t>4</w:t>
      </w:r>
      <w:r>
        <w:rPr>
          <w:rFonts w:hint="eastAsia" w:ascii="宋体" w:hAnsi="宋体" w:eastAsia="宋体"/>
          <w:kern w:val="0"/>
          <w:szCs w:val="21"/>
        </w:rPr>
        <w:t>年</w:t>
      </w:r>
      <w:r>
        <w:rPr>
          <w:rFonts w:hint="eastAsia" w:ascii="宋体" w:hAnsi="宋体" w:eastAsia="宋体"/>
          <w:kern w:val="0"/>
          <w:szCs w:val="21"/>
          <w:lang w:val="en-US" w:eastAsia="zh-CN"/>
        </w:rPr>
        <w:t>XX</w:t>
      </w:r>
      <w:r>
        <w:rPr>
          <w:rFonts w:hint="eastAsia" w:ascii="宋体" w:hAnsi="宋体" w:eastAsia="宋体"/>
          <w:kern w:val="0"/>
          <w:szCs w:val="21"/>
        </w:rPr>
        <w:t>月</w:t>
      </w:r>
      <w:r>
        <w:rPr>
          <w:rFonts w:hint="eastAsia" w:ascii="宋体" w:hAnsi="宋体" w:eastAsia="宋体"/>
          <w:kern w:val="0"/>
          <w:szCs w:val="21"/>
          <w:lang w:val="en-US" w:eastAsia="zh-CN"/>
        </w:rPr>
        <w:t>XX</w:t>
      </w:r>
      <w:r>
        <w:rPr>
          <w:rFonts w:hint="eastAsia" w:ascii="宋体" w:hAnsi="宋体" w:eastAsia="宋体"/>
          <w:kern w:val="0"/>
          <w:szCs w:val="21"/>
        </w:rPr>
        <w:t>日，本标准通过长春市市场监督管理局网站向社会各界公开征求意见，公示期间无相关反馈意见。</w:t>
      </w:r>
    </w:p>
    <w:p w14:paraId="5053D8C5">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w:t>
      </w:r>
      <w:r>
        <w:rPr>
          <w:rFonts w:hint="eastAsia" w:ascii="宋体" w:hAnsi="宋体" w:eastAsia="宋体"/>
          <w:kern w:val="0"/>
          <w:szCs w:val="21"/>
          <w:lang w:eastAsia="zh-CN"/>
        </w:rPr>
        <w:t>.</w:t>
      </w:r>
      <w:r>
        <w:rPr>
          <w:rFonts w:hint="eastAsia" w:ascii="宋体" w:hAnsi="宋体" w:eastAsia="宋体"/>
          <w:kern w:val="0"/>
          <w:szCs w:val="21"/>
        </w:rPr>
        <w:t>线下征求意见</w:t>
      </w:r>
    </w:p>
    <w:p w14:paraId="0D503594">
      <w:pPr>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通过向相关专家和单位发放征求意见函的方式，共发放征求意见函Ｘ份。征求意见函在规定时间内</w:t>
      </w:r>
      <w:r>
        <w:rPr>
          <w:rFonts w:hint="eastAsia" w:ascii="宋体" w:hAnsi="宋体" w:eastAsia="宋体"/>
          <w:color w:val="000000" w:themeColor="text1"/>
          <w:kern w:val="0"/>
          <w:szCs w:val="21"/>
          <w:lang w:val="en-US" w:eastAsia="zh-CN"/>
          <w14:textFill>
            <w14:solidFill>
              <w14:schemeClr w14:val="tx1"/>
            </w14:solidFill>
          </w14:textFill>
        </w:rPr>
        <w:t>已</w:t>
      </w:r>
      <w:r>
        <w:rPr>
          <w:rFonts w:hint="eastAsia" w:ascii="宋体" w:hAnsi="宋体" w:eastAsia="宋体"/>
          <w:color w:val="000000" w:themeColor="text1"/>
          <w:kern w:val="0"/>
          <w:szCs w:val="21"/>
          <w14:textFill>
            <w14:solidFill>
              <w14:schemeClr w14:val="tx1"/>
            </w14:solidFill>
          </w14:textFill>
        </w:rPr>
        <w:t>全部反馈，共收到反馈意见Ｘ条</w:t>
      </w:r>
      <w:r>
        <w:rPr>
          <w:rFonts w:hint="eastAsia" w:ascii="宋体" w:hAnsi="宋体" w:eastAsia="宋体"/>
          <w:color w:val="000000" w:themeColor="text1"/>
          <w:kern w:val="0"/>
          <w:szCs w:val="21"/>
          <w:lang w:eastAsia="zh-CN"/>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其中采纳</w:t>
      </w:r>
      <w:r>
        <w:rPr>
          <w:rFonts w:hint="eastAsia" w:ascii="宋体" w:hAnsi="宋体" w:eastAsia="宋体"/>
          <w:color w:val="000000" w:themeColor="text1"/>
          <w:kern w:val="0"/>
          <w:szCs w:val="21"/>
          <w:lang w:val="en-US" w:eastAsia="zh-CN"/>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条，未采纳</w:t>
      </w:r>
      <w:r>
        <w:rPr>
          <w:rFonts w:hint="eastAsia" w:ascii="宋体" w:hAnsi="宋体" w:eastAsia="宋体"/>
          <w:color w:val="000000" w:themeColor="text1"/>
          <w:kern w:val="0"/>
          <w:szCs w:val="21"/>
          <w:lang w:val="en-US" w:eastAsia="zh-CN"/>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条，具体见表2。未采纳意见已与提出专家进行沟通，已达成协调一致。</w:t>
      </w:r>
    </w:p>
    <w:p w14:paraId="5171A10D">
      <w:pPr>
        <w:spacing w:line="360" w:lineRule="auto"/>
        <w:jc w:val="center"/>
        <w:rPr>
          <w:kern w:val="0"/>
          <w:szCs w:val="21"/>
        </w:rPr>
      </w:pPr>
      <w:r>
        <w:rPr>
          <w:rFonts w:hint="eastAsia" w:ascii="宋体" w:hAnsi="宋体" w:eastAsia="宋体"/>
          <w:kern w:val="0"/>
          <w:szCs w:val="21"/>
        </w:rPr>
        <w:t>表2 《知识产权纠纷人民调解工作规范》征求意见</w:t>
      </w:r>
      <w:r>
        <w:rPr>
          <w:rFonts w:hint="eastAsia" w:ascii="宋体" w:hAnsi="宋体" w:eastAsia="宋体"/>
          <w:kern w:val="0"/>
          <w:szCs w:val="21"/>
          <w:lang w:val="en-US" w:eastAsia="zh-CN"/>
        </w:rPr>
        <w:t>未采纳情况</w:t>
      </w:r>
      <w:r>
        <w:rPr>
          <w:rFonts w:hint="eastAsia" w:ascii="宋体" w:hAnsi="宋体" w:eastAsia="宋体"/>
          <w:kern w:val="0"/>
          <w:szCs w:val="21"/>
        </w:rPr>
        <w:t>汇总表</w:t>
      </w:r>
    </w:p>
    <w:tbl>
      <w:tblPr>
        <w:tblStyle w:val="6"/>
        <w:tblW w:w="10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985"/>
        <w:gridCol w:w="1904"/>
        <w:gridCol w:w="2420"/>
        <w:gridCol w:w="1176"/>
      </w:tblGrid>
      <w:tr w14:paraId="2AFEF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52B998C7">
            <w:pPr>
              <w:autoSpaceDE w:val="0"/>
              <w:autoSpaceDN w:val="0"/>
              <w:adjustRightInd w:val="0"/>
              <w:jc w:val="center"/>
              <w:rPr>
                <w:rFonts w:ascii="宋体" w:hAnsi="宋体" w:eastAsia="宋体"/>
                <w:kern w:val="0"/>
                <w:szCs w:val="21"/>
              </w:rPr>
            </w:pPr>
            <w:r>
              <w:rPr>
                <w:rFonts w:hint="eastAsia" w:ascii="宋体" w:hAnsi="宋体" w:eastAsia="宋体"/>
                <w:kern w:val="0"/>
                <w:szCs w:val="21"/>
              </w:rPr>
              <w:t>序号</w:t>
            </w:r>
          </w:p>
        </w:tc>
        <w:tc>
          <w:tcPr>
            <w:tcW w:w="910" w:type="dxa"/>
            <w:vAlign w:val="center"/>
          </w:tcPr>
          <w:p w14:paraId="32C9FBB8">
            <w:pPr>
              <w:autoSpaceDE w:val="0"/>
              <w:autoSpaceDN w:val="0"/>
              <w:adjustRightInd w:val="0"/>
              <w:jc w:val="center"/>
              <w:rPr>
                <w:rFonts w:ascii="宋体" w:hAnsi="宋体" w:eastAsia="宋体"/>
                <w:kern w:val="0"/>
                <w:szCs w:val="21"/>
              </w:rPr>
            </w:pPr>
            <w:r>
              <w:rPr>
                <w:rFonts w:hint="eastAsia" w:ascii="宋体" w:hAnsi="宋体" w:eastAsia="宋体"/>
                <w:kern w:val="0"/>
                <w:szCs w:val="21"/>
              </w:rPr>
              <w:t>标准</w:t>
            </w:r>
          </w:p>
          <w:p w14:paraId="18FCE199">
            <w:pPr>
              <w:autoSpaceDE w:val="0"/>
              <w:autoSpaceDN w:val="0"/>
              <w:adjustRightInd w:val="0"/>
              <w:jc w:val="center"/>
              <w:rPr>
                <w:rFonts w:ascii="宋体" w:hAnsi="宋体" w:eastAsia="宋体"/>
                <w:kern w:val="0"/>
                <w:szCs w:val="21"/>
              </w:rPr>
            </w:pPr>
            <w:r>
              <w:rPr>
                <w:rFonts w:hint="eastAsia" w:ascii="宋体" w:hAnsi="宋体" w:eastAsia="宋体"/>
                <w:kern w:val="0"/>
                <w:szCs w:val="21"/>
              </w:rPr>
              <w:t>条文号</w:t>
            </w:r>
          </w:p>
        </w:tc>
        <w:tc>
          <w:tcPr>
            <w:tcW w:w="2985" w:type="dxa"/>
            <w:vAlign w:val="center"/>
          </w:tcPr>
          <w:p w14:paraId="7022C745">
            <w:pPr>
              <w:autoSpaceDE w:val="0"/>
              <w:autoSpaceDN w:val="0"/>
              <w:adjustRightInd w:val="0"/>
              <w:jc w:val="center"/>
              <w:rPr>
                <w:rFonts w:ascii="宋体" w:hAnsi="宋体" w:eastAsia="宋体"/>
                <w:kern w:val="0"/>
                <w:szCs w:val="21"/>
              </w:rPr>
            </w:pPr>
            <w:r>
              <w:rPr>
                <w:rFonts w:hint="eastAsia" w:ascii="宋体" w:hAnsi="宋体" w:eastAsia="宋体"/>
                <w:kern w:val="0"/>
                <w:szCs w:val="21"/>
              </w:rPr>
              <w:t>意见内容</w:t>
            </w:r>
          </w:p>
        </w:tc>
        <w:tc>
          <w:tcPr>
            <w:tcW w:w="1904" w:type="dxa"/>
            <w:vAlign w:val="center"/>
          </w:tcPr>
          <w:p w14:paraId="5FF9265C">
            <w:pPr>
              <w:autoSpaceDE w:val="0"/>
              <w:autoSpaceDN w:val="0"/>
              <w:adjustRightInd w:val="0"/>
              <w:jc w:val="center"/>
              <w:rPr>
                <w:rFonts w:ascii="宋体" w:hAnsi="宋体" w:eastAsia="宋体"/>
                <w:kern w:val="0"/>
                <w:szCs w:val="21"/>
              </w:rPr>
            </w:pPr>
            <w:r>
              <w:rPr>
                <w:rFonts w:hint="eastAsia" w:ascii="宋体" w:hAnsi="宋体" w:eastAsia="宋体"/>
                <w:kern w:val="0"/>
                <w:szCs w:val="21"/>
              </w:rPr>
              <w:t>提出单位（专家）</w:t>
            </w:r>
          </w:p>
        </w:tc>
        <w:tc>
          <w:tcPr>
            <w:tcW w:w="2420" w:type="dxa"/>
            <w:vAlign w:val="center"/>
          </w:tcPr>
          <w:p w14:paraId="33B5E26A">
            <w:pPr>
              <w:autoSpaceDE w:val="0"/>
              <w:autoSpaceDN w:val="0"/>
              <w:adjustRightInd w:val="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未采纳原因</w:t>
            </w:r>
          </w:p>
        </w:tc>
        <w:tc>
          <w:tcPr>
            <w:tcW w:w="1176" w:type="dxa"/>
            <w:vAlign w:val="center"/>
          </w:tcPr>
          <w:p w14:paraId="3AA81DFA">
            <w:pPr>
              <w:autoSpaceDE w:val="0"/>
              <w:autoSpaceDN w:val="0"/>
              <w:adjustRightInd w:val="0"/>
              <w:jc w:val="center"/>
              <w:rPr>
                <w:rFonts w:ascii="宋体" w:hAnsi="宋体" w:eastAsia="宋体"/>
                <w:kern w:val="0"/>
                <w:szCs w:val="21"/>
              </w:rPr>
            </w:pPr>
            <w:r>
              <w:rPr>
                <w:rFonts w:hint="eastAsia" w:ascii="宋体" w:hAnsi="宋体" w:eastAsia="宋体"/>
                <w:kern w:val="0"/>
                <w:szCs w:val="21"/>
              </w:rPr>
              <w:t>备注</w:t>
            </w:r>
          </w:p>
        </w:tc>
      </w:tr>
      <w:tr w14:paraId="6187F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26" w:type="dxa"/>
            <w:vAlign w:val="center"/>
          </w:tcPr>
          <w:p w14:paraId="09C5599D">
            <w:pPr>
              <w:autoSpaceDE w:val="0"/>
              <w:autoSpaceDN w:val="0"/>
              <w:adjustRightInd w:val="0"/>
              <w:jc w:val="center"/>
              <w:rPr>
                <w:rFonts w:ascii="宋体" w:hAnsi="宋体" w:eastAsia="宋体"/>
                <w:kern w:val="0"/>
                <w:szCs w:val="21"/>
              </w:rPr>
            </w:pPr>
            <w:r>
              <w:rPr>
                <w:rFonts w:hint="eastAsia" w:ascii="宋体" w:hAnsi="宋体" w:eastAsia="宋体"/>
                <w:kern w:val="0"/>
                <w:szCs w:val="21"/>
              </w:rPr>
              <w:t>1</w:t>
            </w:r>
          </w:p>
        </w:tc>
        <w:tc>
          <w:tcPr>
            <w:tcW w:w="910" w:type="dxa"/>
            <w:vAlign w:val="center"/>
          </w:tcPr>
          <w:p w14:paraId="7CC6E54E">
            <w:pPr>
              <w:autoSpaceDE w:val="0"/>
              <w:autoSpaceDN w:val="0"/>
              <w:adjustRightInd w:val="0"/>
              <w:jc w:val="center"/>
              <w:rPr>
                <w:rFonts w:ascii="宋体" w:hAnsi="宋体" w:eastAsia="宋体"/>
                <w:kern w:val="0"/>
                <w:szCs w:val="21"/>
              </w:rPr>
            </w:pPr>
          </w:p>
        </w:tc>
        <w:tc>
          <w:tcPr>
            <w:tcW w:w="2985" w:type="dxa"/>
            <w:vAlign w:val="center"/>
          </w:tcPr>
          <w:p w14:paraId="779C21BA">
            <w:pPr>
              <w:autoSpaceDE w:val="0"/>
              <w:autoSpaceDN w:val="0"/>
              <w:adjustRightInd w:val="0"/>
              <w:jc w:val="left"/>
              <w:rPr>
                <w:rFonts w:ascii="宋体" w:hAnsi="宋体" w:eastAsia="宋体"/>
                <w:kern w:val="0"/>
                <w:szCs w:val="21"/>
              </w:rPr>
            </w:pPr>
          </w:p>
        </w:tc>
        <w:tc>
          <w:tcPr>
            <w:tcW w:w="1904" w:type="dxa"/>
            <w:vAlign w:val="center"/>
          </w:tcPr>
          <w:p w14:paraId="738F135B">
            <w:pPr>
              <w:autoSpaceDE w:val="0"/>
              <w:autoSpaceDN w:val="0"/>
              <w:adjustRightInd w:val="0"/>
              <w:jc w:val="left"/>
              <w:rPr>
                <w:rFonts w:ascii="宋体" w:hAnsi="宋体" w:eastAsia="宋体"/>
                <w:kern w:val="0"/>
                <w:szCs w:val="21"/>
              </w:rPr>
            </w:pPr>
          </w:p>
        </w:tc>
        <w:tc>
          <w:tcPr>
            <w:tcW w:w="2420" w:type="dxa"/>
            <w:vAlign w:val="center"/>
          </w:tcPr>
          <w:p w14:paraId="5E718AF9">
            <w:pPr>
              <w:tabs>
                <w:tab w:val="left" w:pos="397"/>
              </w:tabs>
              <w:autoSpaceDE w:val="0"/>
              <w:autoSpaceDN w:val="0"/>
              <w:adjustRightInd w:val="0"/>
              <w:jc w:val="center"/>
              <w:rPr>
                <w:rFonts w:ascii="宋体" w:hAnsi="宋体" w:eastAsia="宋体"/>
                <w:kern w:val="0"/>
                <w:szCs w:val="21"/>
              </w:rPr>
            </w:pPr>
          </w:p>
        </w:tc>
        <w:tc>
          <w:tcPr>
            <w:tcW w:w="1176" w:type="dxa"/>
            <w:vAlign w:val="center"/>
          </w:tcPr>
          <w:p w14:paraId="6C211405">
            <w:pPr>
              <w:autoSpaceDE w:val="0"/>
              <w:autoSpaceDN w:val="0"/>
              <w:adjustRightInd w:val="0"/>
              <w:jc w:val="left"/>
              <w:rPr>
                <w:rFonts w:ascii="宋体" w:hAnsi="宋体" w:eastAsia="宋体"/>
                <w:kern w:val="0"/>
                <w:szCs w:val="21"/>
              </w:rPr>
            </w:pPr>
          </w:p>
        </w:tc>
      </w:tr>
      <w:tr w14:paraId="71F8C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6" w:type="dxa"/>
            <w:vAlign w:val="center"/>
          </w:tcPr>
          <w:p w14:paraId="06C04614">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2</w:t>
            </w:r>
          </w:p>
        </w:tc>
        <w:tc>
          <w:tcPr>
            <w:tcW w:w="910" w:type="dxa"/>
            <w:vAlign w:val="center"/>
          </w:tcPr>
          <w:p w14:paraId="75AFEDD4">
            <w:pPr>
              <w:autoSpaceDE w:val="0"/>
              <w:autoSpaceDN w:val="0"/>
              <w:adjustRightInd w:val="0"/>
              <w:jc w:val="center"/>
              <w:rPr>
                <w:rFonts w:ascii="宋体" w:hAnsi="宋体" w:eastAsia="宋体"/>
                <w:kern w:val="0"/>
                <w:szCs w:val="21"/>
              </w:rPr>
            </w:pPr>
          </w:p>
        </w:tc>
        <w:tc>
          <w:tcPr>
            <w:tcW w:w="2985" w:type="dxa"/>
            <w:vAlign w:val="center"/>
          </w:tcPr>
          <w:p w14:paraId="0C749BE1">
            <w:pPr>
              <w:autoSpaceDE w:val="0"/>
              <w:autoSpaceDN w:val="0"/>
              <w:adjustRightInd w:val="0"/>
              <w:jc w:val="left"/>
              <w:rPr>
                <w:rFonts w:ascii="宋体" w:hAnsi="宋体" w:eastAsia="宋体"/>
                <w:kern w:val="0"/>
                <w:szCs w:val="21"/>
              </w:rPr>
            </w:pPr>
          </w:p>
        </w:tc>
        <w:tc>
          <w:tcPr>
            <w:tcW w:w="1904" w:type="dxa"/>
            <w:vAlign w:val="center"/>
          </w:tcPr>
          <w:p w14:paraId="698148B4">
            <w:pPr>
              <w:autoSpaceDE w:val="0"/>
              <w:autoSpaceDN w:val="0"/>
              <w:adjustRightInd w:val="0"/>
              <w:jc w:val="left"/>
              <w:rPr>
                <w:rFonts w:ascii="宋体" w:hAnsi="宋体" w:eastAsia="宋体"/>
                <w:kern w:val="0"/>
                <w:szCs w:val="21"/>
              </w:rPr>
            </w:pPr>
          </w:p>
        </w:tc>
        <w:tc>
          <w:tcPr>
            <w:tcW w:w="2420" w:type="dxa"/>
            <w:vAlign w:val="center"/>
          </w:tcPr>
          <w:p w14:paraId="6AFEF4FF">
            <w:pPr>
              <w:tabs>
                <w:tab w:val="left" w:pos="397"/>
              </w:tabs>
              <w:autoSpaceDE w:val="0"/>
              <w:autoSpaceDN w:val="0"/>
              <w:adjustRightInd w:val="0"/>
              <w:jc w:val="center"/>
              <w:rPr>
                <w:rFonts w:ascii="宋体" w:hAnsi="宋体" w:eastAsia="宋体"/>
                <w:kern w:val="0"/>
                <w:szCs w:val="21"/>
              </w:rPr>
            </w:pPr>
          </w:p>
        </w:tc>
        <w:tc>
          <w:tcPr>
            <w:tcW w:w="1176" w:type="dxa"/>
            <w:vAlign w:val="center"/>
          </w:tcPr>
          <w:p w14:paraId="0E2AB683">
            <w:pPr>
              <w:autoSpaceDE w:val="0"/>
              <w:autoSpaceDN w:val="0"/>
              <w:adjustRightInd w:val="0"/>
              <w:jc w:val="left"/>
              <w:rPr>
                <w:rFonts w:ascii="宋体" w:hAnsi="宋体" w:eastAsia="宋体"/>
                <w:kern w:val="0"/>
                <w:szCs w:val="21"/>
              </w:rPr>
            </w:pPr>
          </w:p>
        </w:tc>
      </w:tr>
    </w:tbl>
    <w:p w14:paraId="008E9B7E">
      <w:pPr>
        <w:pStyle w:val="8"/>
        <w:spacing w:line="360" w:lineRule="auto"/>
        <w:rPr>
          <w:rFonts w:ascii="宋体" w:hAnsi="宋体" w:eastAsia="宋体" w:cs="宋体"/>
          <w:kern w:val="0"/>
          <w:szCs w:val="21"/>
        </w:rPr>
      </w:pPr>
      <w:r>
        <w:rPr>
          <w:rFonts w:hint="eastAsia" w:ascii="宋体" w:hAnsi="宋体" w:eastAsia="宋体" w:cs="宋体"/>
          <w:kern w:val="0"/>
          <w:szCs w:val="21"/>
        </w:rPr>
        <w:t>（五</w:t>
      </w:r>
      <w:r>
        <w:rPr>
          <w:rFonts w:ascii="宋体" w:hAnsi="宋体" w:eastAsia="宋体" w:cs="宋体"/>
          <w:kern w:val="0"/>
          <w:szCs w:val="21"/>
        </w:rPr>
        <w:t>）</w:t>
      </w:r>
      <w:r>
        <w:rPr>
          <w:rFonts w:hint="eastAsia" w:ascii="宋体" w:hAnsi="宋体" w:eastAsia="宋体" w:cs="宋体"/>
          <w:kern w:val="0"/>
          <w:szCs w:val="21"/>
        </w:rPr>
        <w:t>审查</w:t>
      </w:r>
      <w:r>
        <w:rPr>
          <w:rFonts w:ascii="宋体" w:hAnsi="宋体" w:eastAsia="宋体" w:cs="宋体"/>
          <w:kern w:val="0"/>
          <w:szCs w:val="21"/>
        </w:rPr>
        <w:t>阶段</w:t>
      </w:r>
    </w:p>
    <w:p w14:paraId="46C64D54">
      <w:pPr>
        <w:pStyle w:val="8"/>
        <w:spacing w:line="360" w:lineRule="auto"/>
        <w:rPr>
          <w:rFonts w:hint="eastAsia" w:ascii="宋体" w:hAnsi="宋体" w:eastAsia="宋体" w:cstheme="minorBidi"/>
          <w:kern w:val="0"/>
          <w:sz w:val="21"/>
          <w:szCs w:val="21"/>
          <w:lang w:val="en-US" w:eastAsia="zh-CN" w:bidi="ar-SA"/>
        </w:rPr>
      </w:pPr>
      <w:r>
        <w:rPr>
          <w:rFonts w:hint="eastAsia" w:ascii="宋体" w:hAnsi="宋体" w:eastAsia="宋体" w:cstheme="minorBidi"/>
          <w:kern w:val="0"/>
          <w:sz w:val="21"/>
          <w:szCs w:val="21"/>
          <w:lang w:val="en-US" w:eastAsia="zh-CN" w:bidi="ar-SA"/>
        </w:rPr>
        <w:t>2024年XX月XX日，长春市市场监督管理局在长春市组织召开了《知识产权纠纷人民调解工作规范》（送审稿）审查会，来自XXX的XX家单位的XX位专家出席会议，并组成标准审查组。标准起草工作组汇报了标准制定情况及有关说明。审查专家组听取并审阅了标准起草组提交的《</w:t>
      </w:r>
      <w:r>
        <w:rPr>
          <w:rFonts w:hint="eastAsia" w:ascii="宋体" w:hAnsi="宋体" w:eastAsia="宋体"/>
          <w:kern w:val="0"/>
          <w:szCs w:val="21"/>
        </w:rPr>
        <w:t>知识产权纠纷人民调解工作规范</w:t>
      </w:r>
      <w:r>
        <w:rPr>
          <w:rFonts w:hint="eastAsia" w:ascii="宋体" w:hAnsi="宋体" w:eastAsia="宋体" w:cstheme="minorBidi"/>
          <w:kern w:val="0"/>
          <w:sz w:val="21"/>
          <w:szCs w:val="21"/>
          <w:lang w:val="en-US" w:eastAsia="zh-CN" w:bidi="ar-SA"/>
        </w:rPr>
        <w:t>》送审稿的标准文本、编制说明等文件资料。与会专家对《</w:t>
      </w:r>
      <w:r>
        <w:rPr>
          <w:rFonts w:hint="eastAsia" w:ascii="宋体" w:hAnsi="宋体" w:eastAsia="宋体"/>
          <w:kern w:val="0"/>
          <w:szCs w:val="21"/>
        </w:rPr>
        <w:t>知识产权纠纷人民调解工作规范</w:t>
      </w:r>
      <w:r>
        <w:rPr>
          <w:rFonts w:hint="eastAsia" w:ascii="宋体" w:hAnsi="宋体" w:eastAsia="宋体" w:cstheme="minorBidi"/>
          <w:kern w:val="0"/>
          <w:sz w:val="21"/>
          <w:szCs w:val="21"/>
          <w:lang w:val="en-US" w:eastAsia="zh-CN" w:bidi="ar-SA"/>
        </w:rPr>
        <w:t>》文本进行了逐章逐条地审查，并提出了修改意见。经充分讨论，审查专家组一致同意通过《</w:t>
      </w:r>
      <w:r>
        <w:rPr>
          <w:rFonts w:hint="eastAsia" w:ascii="宋体" w:hAnsi="宋体" w:eastAsia="宋体"/>
          <w:kern w:val="0"/>
          <w:szCs w:val="21"/>
        </w:rPr>
        <w:t>知识产权纠纷人民调解工作规范</w:t>
      </w:r>
      <w:r>
        <w:rPr>
          <w:rFonts w:hint="eastAsia" w:ascii="宋体" w:hAnsi="宋体" w:eastAsia="宋体" w:cstheme="minorBidi"/>
          <w:kern w:val="0"/>
          <w:sz w:val="21"/>
          <w:szCs w:val="21"/>
          <w:lang w:val="en-US" w:eastAsia="zh-CN" w:bidi="ar-SA"/>
        </w:rPr>
        <w:t>》的审定。</w:t>
      </w:r>
    </w:p>
    <w:p w14:paraId="68B62011">
      <w:pPr>
        <w:pStyle w:val="8"/>
        <w:spacing w:line="360" w:lineRule="auto"/>
      </w:pPr>
      <w:r>
        <w:rPr>
          <w:rFonts w:hint="eastAsia"/>
        </w:rPr>
        <w:t>（六</w:t>
      </w:r>
      <w:r>
        <w:t>）</w:t>
      </w:r>
      <w:r>
        <w:rPr>
          <w:rFonts w:hint="eastAsia"/>
        </w:rPr>
        <w:t>报批</w:t>
      </w:r>
      <w:r>
        <w:t>阶段</w:t>
      </w:r>
    </w:p>
    <w:p w14:paraId="6874420F">
      <w:pPr>
        <w:widowControl/>
        <w:spacing w:line="360" w:lineRule="auto"/>
        <w:ind w:firstLine="420" w:firstLineChars="200"/>
        <w:rPr>
          <w:rFonts w:hint="eastAsia" w:eastAsiaTheme="minorEastAsia"/>
          <w:lang w:eastAsia="zh-CN"/>
        </w:rPr>
      </w:pPr>
      <w:r>
        <w:rPr>
          <w:rFonts w:hint="eastAsia"/>
        </w:rPr>
        <w:t>起草组会后根据专家的意见对标准进行修改和完善</w:t>
      </w:r>
      <w:r>
        <w:rPr>
          <w:rFonts w:hint="eastAsia"/>
          <w:lang w:eastAsia="zh-CN"/>
        </w:rPr>
        <w:t>，</w:t>
      </w:r>
      <w:r>
        <w:rPr>
          <w:rFonts w:hint="eastAsia"/>
        </w:rPr>
        <w:t>尽快形成了标准报批稿</w:t>
      </w:r>
      <w:r>
        <w:rPr>
          <w:rFonts w:hint="eastAsia"/>
          <w:lang w:eastAsia="zh-CN"/>
        </w:rPr>
        <w:t>，</w:t>
      </w:r>
      <w:r>
        <w:rPr>
          <w:rFonts w:hint="eastAsia" w:ascii="宋体" w:hAnsi="宋体" w:eastAsia="宋体"/>
          <w:kern w:val="0"/>
          <w:szCs w:val="21"/>
        </w:rPr>
        <w:t>提交长春市市场监督管理局报批。</w:t>
      </w:r>
    </w:p>
    <w:p w14:paraId="0A5305B6">
      <w:pPr>
        <w:widowControl/>
        <w:spacing w:line="360" w:lineRule="auto"/>
        <w:ind w:firstLine="420" w:firstLineChars="200"/>
        <w:jc w:val="left"/>
        <w:rPr>
          <w:rFonts w:ascii="黑体" w:hAnsi="宋体" w:eastAsia="黑体" w:cs="Times New Roman"/>
          <w:kern w:val="0"/>
          <w:szCs w:val="21"/>
        </w:rPr>
      </w:pPr>
      <w:r>
        <w:rPr>
          <w:rFonts w:hint="eastAsia" w:ascii="黑体" w:hAnsi="宋体" w:eastAsia="黑体" w:cs="Times New Roman"/>
          <w:kern w:val="0"/>
          <w:szCs w:val="21"/>
        </w:rPr>
        <w:t>四、制订标准的原则和依据，与现行法律、法规、标准的关系</w:t>
      </w:r>
    </w:p>
    <w:p w14:paraId="28175896">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（一）编制原则</w:t>
      </w:r>
    </w:p>
    <w:p w14:paraId="4796A92B">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本标准编制遵循</w:t>
      </w:r>
      <w:r>
        <w:rPr>
          <w:rFonts w:ascii="宋体" w:hAnsi="宋体" w:eastAsia="宋体" w:cs="Times New Roman"/>
          <w:bCs/>
          <w:szCs w:val="21"/>
        </w:rPr>
        <w:t>“</w:t>
      </w:r>
      <w:r>
        <w:rPr>
          <w:rFonts w:hint="eastAsia" w:ascii="宋体" w:hAnsi="宋体" w:eastAsia="宋体" w:cs="Times New Roman"/>
          <w:bCs/>
          <w:szCs w:val="21"/>
        </w:rPr>
        <w:t>科学性、适用性、适用性、规范</w:t>
      </w:r>
      <w:r>
        <w:rPr>
          <w:rFonts w:ascii="宋体" w:hAnsi="宋体" w:eastAsia="宋体" w:cs="Times New Roman"/>
          <w:bCs/>
          <w:szCs w:val="21"/>
        </w:rPr>
        <w:t>性”</w:t>
      </w:r>
      <w:r>
        <w:rPr>
          <w:rFonts w:hint="eastAsia" w:ascii="宋体" w:hAnsi="宋体" w:eastAsia="宋体" w:cs="Times New Roman"/>
          <w:bCs/>
          <w:szCs w:val="21"/>
        </w:rPr>
        <w:t>原则，</w:t>
      </w:r>
      <w:r>
        <w:rPr>
          <w:rFonts w:ascii="宋体" w:hAnsi="宋体" w:eastAsia="宋体" w:cs="Times New Roman"/>
          <w:bCs/>
          <w:szCs w:val="21"/>
        </w:rPr>
        <w:t>力求层次清晰，结构合理，内容准确</w:t>
      </w:r>
      <w:r>
        <w:rPr>
          <w:rFonts w:hint="eastAsia" w:ascii="宋体" w:hAnsi="宋体" w:eastAsia="宋体" w:cs="Times New Roman"/>
          <w:bCs/>
          <w:szCs w:val="21"/>
        </w:rPr>
        <w:t>可靠</w:t>
      </w:r>
      <w:r>
        <w:rPr>
          <w:rFonts w:ascii="宋体" w:hAnsi="宋体" w:eastAsia="宋体" w:cs="Times New Roman"/>
          <w:bCs/>
          <w:szCs w:val="21"/>
        </w:rPr>
        <w:t>，文字表述准确易懂，确保标准科学</w:t>
      </w:r>
      <w:r>
        <w:rPr>
          <w:rFonts w:hint="eastAsia" w:ascii="宋体" w:hAnsi="宋体" w:eastAsia="宋体" w:cs="Times New Roman"/>
          <w:bCs/>
          <w:szCs w:val="21"/>
        </w:rPr>
        <w:t>严谨</w:t>
      </w:r>
      <w:r>
        <w:rPr>
          <w:rFonts w:ascii="宋体" w:hAnsi="宋体" w:eastAsia="宋体" w:cs="Times New Roman"/>
          <w:bCs/>
          <w:szCs w:val="21"/>
        </w:rPr>
        <w:t>，</w:t>
      </w:r>
      <w:r>
        <w:rPr>
          <w:rFonts w:hint="eastAsia" w:ascii="宋体" w:hAnsi="宋体" w:eastAsia="宋体" w:cs="Times New Roman"/>
          <w:bCs/>
          <w:szCs w:val="21"/>
        </w:rPr>
        <w:t>实</w:t>
      </w:r>
      <w:r>
        <w:rPr>
          <w:rFonts w:ascii="宋体" w:hAnsi="宋体" w:eastAsia="宋体" w:cs="Times New Roman"/>
          <w:bCs/>
          <w:szCs w:val="21"/>
        </w:rPr>
        <w:t>际</w:t>
      </w:r>
      <w:r>
        <w:rPr>
          <w:rFonts w:hint="eastAsia" w:ascii="宋体" w:hAnsi="宋体" w:eastAsia="宋体" w:cs="Times New Roman"/>
          <w:bCs/>
          <w:szCs w:val="21"/>
        </w:rPr>
        <w:t>操作简单</w:t>
      </w:r>
      <w:r>
        <w:rPr>
          <w:rFonts w:ascii="宋体" w:hAnsi="宋体" w:eastAsia="宋体" w:cs="Times New Roman"/>
          <w:bCs/>
          <w:szCs w:val="21"/>
        </w:rPr>
        <w:t>，</w:t>
      </w:r>
      <w:r>
        <w:rPr>
          <w:rFonts w:hint="eastAsia" w:ascii="宋体" w:hAnsi="宋体" w:eastAsia="宋体" w:cs="Times New Roman"/>
          <w:bCs/>
          <w:szCs w:val="21"/>
        </w:rPr>
        <w:t>易</w:t>
      </w:r>
      <w:r>
        <w:rPr>
          <w:rFonts w:ascii="宋体" w:hAnsi="宋体" w:eastAsia="宋体" w:cs="Times New Roman"/>
          <w:bCs/>
          <w:szCs w:val="21"/>
        </w:rPr>
        <w:t>于广泛</w:t>
      </w:r>
      <w:r>
        <w:rPr>
          <w:rFonts w:hint="eastAsia" w:ascii="宋体" w:hAnsi="宋体" w:eastAsia="宋体" w:cs="Times New Roman"/>
          <w:bCs/>
          <w:szCs w:val="21"/>
        </w:rPr>
        <w:t>适用</w:t>
      </w:r>
      <w:r>
        <w:rPr>
          <w:rFonts w:ascii="宋体" w:hAnsi="宋体" w:eastAsia="宋体" w:cs="Times New Roman"/>
          <w:bCs/>
          <w:szCs w:val="21"/>
        </w:rPr>
        <w:t>。</w:t>
      </w:r>
    </w:p>
    <w:p w14:paraId="6284B8BF">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（二）依据</w:t>
      </w:r>
    </w:p>
    <w:p w14:paraId="2BC93E78">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1</w:t>
      </w:r>
      <w:r>
        <w:rPr>
          <w:rFonts w:hint="eastAsia" w:ascii="宋体" w:hAnsi="宋体" w:eastAsia="宋体" w:cs="Times New Roman"/>
          <w:bCs/>
          <w:szCs w:val="21"/>
          <w:lang w:eastAsia="zh-CN"/>
        </w:rPr>
        <w:t>.</w:t>
      </w:r>
      <w:r>
        <w:rPr>
          <w:rFonts w:hint="eastAsia" w:ascii="宋体" w:hAnsi="宋体" w:eastAsia="宋体" w:cs="Times New Roman"/>
          <w:bCs/>
          <w:szCs w:val="21"/>
        </w:rPr>
        <w:t>法律法规依据</w:t>
      </w:r>
    </w:p>
    <w:p w14:paraId="37EA88AD">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《中华人民共和国标准化法》</w:t>
      </w:r>
    </w:p>
    <w:p w14:paraId="5070944B">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《中华人民共和国人民调解法》</w:t>
      </w:r>
    </w:p>
    <w:p w14:paraId="5F62BAC6">
      <w:pPr>
        <w:widowControl/>
        <w:numPr>
          <w:ilvl w:val="0"/>
          <w:numId w:val="0"/>
        </w:numPr>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lang w:val="en-US" w:eastAsia="zh-CN"/>
        </w:rPr>
        <w:t>2.</w:t>
      </w:r>
      <w:r>
        <w:rPr>
          <w:rFonts w:hint="eastAsia" w:ascii="宋体" w:hAnsi="宋体" w:eastAsia="宋体" w:cs="Times New Roman"/>
          <w:bCs/>
          <w:szCs w:val="21"/>
        </w:rPr>
        <w:t>标准依据</w:t>
      </w:r>
    </w:p>
    <w:p w14:paraId="4460E78E">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GB/T 1.1—2020　标准化工作导则  第1部分：标准化文件的结构和起草规则</w:t>
      </w:r>
    </w:p>
    <w:p w14:paraId="4C1C1616">
      <w:p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SF/T 0083-2020《全国人民调解工作规范》</w:t>
      </w:r>
    </w:p>
    <w:p w14:paraId="660029E5">
      <w:pPr>
        <w:pStyle w:val="8"/>
        <w:numPr>
          <w:ilvl w:val="0"/>
          <w:numId w:val="0"/>
        </w:numPr>
        <w:spacing w:line="360" w:lineRule="auto"/>
        <w:ind w:firstLine="420" w:firstLineChars="200"/>
        <w:rPr>
          <w:rFonts w:ascii="宋体" w:hAnsi="宋体" w:cs="宋体"/>
          <w:kern w:val="0"/>
          <w:szCs w:val="21"/>
        </w:rPr>
      </w:pPr>
      <w:r>
        <w:rPr>
          <w:rFonts w:hint="eastAsia" w:ascii="宋体" w:hAnsi="宋体" w:eastAsia="宋体" w:cs="宋体"/>
          <w:kern w:val="0"/>
          <w:szCs w:val="21"/>
          <w:lang w:val="en-US" w:eastAsia="zh-CN"/>
        </w:rPr>
        <w:t>3.</w:t>
      </w:r>
      <w:r>
        <w:rPr>
          <w:rFonts w:ascii="宋体" w:hAnsi="宋体" w:cs="宋体"/>
          <w:kern w:val="0"/>
          <w:szCs w:val="21"/>
        </w:rPr>
        <w:t>其他文件</w:t>
      </w:r>
    </w:p>
    <w:p w14:paraId="68616858">
      <w:pPr>
        <w:spacing w:line="360" w:lineRule="auto"/>
        <w:ind w:left="420" w:leftChars="200" w:firstLine="0" w:firstLineChars="0"/>
        <w:rPr>
          <w:rFonts w:asciiTheme="minorEastAsia" w:hAnsiTheme="minorEastAsia"/>
          <w:color w:val="auto"/>
        </w:rPr>
      </w:pPr>
      <w:r>
        <w:rPr>
          <w:rFonts w:hint="eastAsia"/>
          <w:color w:val="auto"/>
        </w:rPr>
        <w:t>《中共中央办公厅国务院办公厅关于完善矛盾纠纷多元化解机制的意见》</w:t>
      </w:r>
      <w:r>
        <w:rPr>
          <w:rFonts w:hint="eastAsia" w:asciiTheme="minorEastAsia" w:hAnsiTheme="minorEastAsia"/>
          <w:color w:val="auto"/>
        </w:rPr>
        <w:t>（</w:t>
      </w:r>
      <w:r>
        <w:rPr>
          <w:rFonts w:hint="eastAsia"/>
          <w:color w:val="auto"/>
        </w:rPr>
        <w:t>中办发</w:t>
      </w:r>
      <w:r>
        <w:rPr>
          <w:rFonts w:hint="eastAsia" w:ascii="宋体" w:hAnsi="宋体" w:eastAsia="宋体"/>
          <w:color w:val="auto"/>
        </w:rPr>
        <w:t>〔</w:t>
      </w:r>
      <w:r>
        <w:rPr>
          <w:rFonts w:hint="eastAsia"/>
          <w:color w:val="auto"/>
        </w:rPr>
        <w:t>2015</w:t>
      </w:r>
      <w:r>
        <w:rPr>
          <w:rFonts w:hint="eastAsia" w:asciiTheme="minorEastAsia" w:hAnsiTheme="minorEastAsia"/>
          <w:color w:val="auto"/>
        </w:rPr>
        <w:t>〕</w:t>
      </w:r>
      <w:r>
        <w:rPr>
          <w:rFonts w:hint="eastAsia"/>
          <w:color w:val="auto"/>
        </w:rPr>
        <w:t>60号</w:t>
      </w:r>
      <w:r>
        <w:rPr>
          <w:rFonts w:asciiTheme="minorEastAsia" w:hAnsiTheme="minorEastAsia"/>
          <w:color w:val="auto"/>
        </w:rPr>
        <w:t>）</w:t>
      </w:r>
    </w:p>
    <w:p w14:paraId="6D0C828E">
      <w:pPr>
        <w:spacing w:line="360" w:lineRule="auto"/>
        <w:ind w:left="420" w:leftChars="200" w:firstLine="0" w:firstLineChars="0"/>
        <w:rPr>
          <w:rFonts w:hint="eastAsia"/>
          <w:color w:val="auto"/>
        </w:rPr>
      </w:pPr>
      <w:r>
        <w:rPr>
          <w:rFonts w:hint="eastAsia"/>
          <w:color w:val="auto"/>
        </w:rPr>
        <w:t>《国务院关于印发“十</w:t>
      </w:r>
      <w:r>
        <w:rPr>
          <w:rFonts w:hint="eastAsia"/>
          <w:color w:val="auto"/>
          <w:lang w:val="en-US" w:eastAsia="zh-CN"/>
        </w:rPr>
        <w:t>四</w:t>
      </w:r>
      <w:r>
        <w:rPr>
          <w:rFonts w:hint="eastAsia"/>
          <w:color w:val="auto"/>
        </w:rPr>
        <w:t>五”国家知识产权保护和运用规划的通知》</w:t>
      </w:r>
      <w:r>
        <w:rPr>
          <w:rFonts w:hint="eastAsia" w:asciiTheme="minorEastAsia" w:hAnsiTheme="minorEastAsia"/>
          <w:color w:val="auto"/>
        </w:rPr>
        <w:t>（</w:t>
      </w:r>
      <w:r>
        <w:rPr>
          <w:rFonts w:hint="eastAsia"/>
          <w:color w:val="auto"/>
        </w:rPr>
        <w:t>国发</w:t>
      </w:r>
      <w:r>
        <w:rPr>
          <w:rFonts w:hint="eastAsia" w:ascii="宋体" w:hAnsi="宋体" w:eastAsia="宋体"/>
          <w:color w:val="auto"/>
        </w:rPr>
        <w:t>〔</w:t>
      </w:r>
      <w:r>
        <w:rPr>
          <w:rFonts w:hint="eastAsia"/>
          <w:color w:val="auto"/>
        </w:rPr>
        <w:t>20</w:t>
      </w:r>
      <w:r>
        <w:rPr>
          <w:rFonts w:hint="eastAsia"/>
          <w:color w:val="auto"/>
          <w:lang w:val="en-US" w:eastAsia="zh-CN"/>
        </w:rPr>
        <w:t>21</w:t>
      </w:r>
      <w:r>
        <w:rPr>
          <w:rFonts w:hint="eastAsia" w:asciiTheme="minorEastAsia" w:hAnsiTheme="minorEastAsia"/>
          <w:color w:val="auto"/>
        </w:rPr>
        <w:t>〕</w:t>
      </w:r>
      <w:r>
        <w:rPr>
          <w:rFonts w:hint="eastAsia"/>
          <w:color w:val="auto"/>
          <w:lang w:val="en-US" w:eastAsia="zh-CN"/>
        </w:rPr>
        <w:t>20</w:t>
      </w:r>
      <w:r>
        <w:rPr>
          <w:rFonts w:hint="eastAsia"/>
          <w:color w:val="auto"/>
        </w:rPr>
        <w:t>号</w:t>
      </w:r>
      <w:r>
        <w:rPr>
          <w:rFonts w:asciiTheme="minorEastAsia" w:hAnsiTheme="minorEastAsia"/>
          <w:color w:val="auto"/>
        </w:rPr>
        <w:t>）</w:t>
      </w:r>
    </w:p>
    <w:p w14:paraId="251080CE">
      <w:pPr>
        <w:spacing w:line="360" w:lineRule="auto"/>
        <w:ind w:firstLine="420" w:firstLineChars="200"/>
        <w:rPr>
          <w:rFonts w:hint="default" w:ascii="宋体" w:hAnsi="宋体" w:eastAsia="宋体" w:cs="宋体"/>
          <w:kern w:val="0"/>
          <w:szCs w:val="21"/>
          <w:lang w:val="en-US" w:eastAsia="zh-CN"/>
        </w:rPr>
      </w:pPr>
      <w:r>
        <w:rPr>
          <w:rFonts w:hint="eastAsia"/>
        </w:rPr>
        <w:t>长春市司法局</w:t>
      </w:r>
      <w:r>
        <w:rPr>
          <w:rFonts w:hint="default" w:ascii="宋体" w:hAnsi="宋体" w:eastAsia="宋体" w:cs="宋体"/>
          <w:kern w:val="0"/>
          <w:szCs w:val="21"/>
          <w:lang w:val="en-US" w:eastAsia="zh-CN"/>
        </w:rPr>
        <w:t>《人民调解卷宗制作指引》</w:t>
      </w:r>
    </w:p>
    <w:p w14:paraId="5286C966">
      <w:pPr>
        <w:spacing w:line="360" w:lineRule="auto"/>
        <w:ind w:firstLine="420" w:firstLineChars="200"/>
        <w:rPr>
          <w:rFonts w:hint="eastAsia" w:ascii="Times New Roman" w:hAnsi="Times New Roman" w:eastAsia="宋体" w:cs="宋体"/>
          <w:bCs/>
          <w:kern w:val="0"/>
          <w:szCs w:val="21"/>
        </w:rPr>
      </w:pPr>
      <w:r>
        <w:rPr>
          <w:rFonts w:hint="eastAsia" w:ascii="Times New Roman" w:hAnsi="Times New Roman" w:eastAsia="宋体" w:cs="宋体"/>
          <w:kern w:val="0"/>
          <w:szCs w:val="21"/>
        </w:rPr>
        <w:t>（三）与有关的现行法律、法规和强制性标准的关系</w:t>
      </w:r>
    </w:p>
    <w:p w14:paraId="40B381E2">
      <w:pPr>
        <w:widowControl/>
        <w:spacing w:line="360" w:lineRule="auto"/>
        <w:ind w:firstLine="420" w:firstLineChars="200"/>
        <w:rPr>
          <w:rFonts w:ascii="宋体" w:hAnsi="宋体" w:eastAsia="宋体" w:cs="Times New Roman"/>
          <w:bCs/>
          <w:szCs w:val="21"/>
        </w:rPr>
      </w:pPr>
      <w:r>
        <w:rPr>
          <w:rFonts w:hint="eastAsia" w:ascii="宋体" w:hAnsi="宋体" w:eastAsia="宋体" w:cs="Times New Roman"/>
          <w:bCs/>
          <w:szCs w:val="21"/>
        </w:rPr>
        <w:t>本标准符合现行法律、法规要求，与相关</w:t>
      </w:r>
      <w:r>
        <w:rPr>
          <w:rFonts w:ascii="宋体" w:hAnsi="宋体" w:eastAsia="宋体" w:cs="Times New Roman"/>
          <w:bCs/>
          <w:szCs w:val="21"/>
        </w:rPr>
        <w:t>国家标准</w:t>
      </w:r>
      <w:r>
        <w:rPr>
          <w:rFonts w:hint="eastAsia" w:ascii="宋体" w:hAnsi="宋体" w:eastAsia="宋体" w:cs="Times New Roman"/>
          <w:bCs/>
          <w:szCs w:val="21"/>
        </w:rPr>
        <w:t>、</w:t>
      </w:r>
      <w:r>
        <w:rPr>
          <w:rFonts w:hint="eastAsia" w:ascii="宋体" w:hAnsi="宋体" w:eastAsia="宋体" w:cs="Times New Roman"/>
          <w:bCs/>
          <w:szCs w:val="21"/>
          <w:lang w:val="en-US" w:eastAsia="zh-CN"/>
        </w:rPr>
        <w:t>行业标准、</w:t>
      </w:r>
      <w:r>
        <w:rPr>
          <w:rFonts w:ascii="宋体" w:hAnsi="宋体" w:eastAsia="宋体" w:cs="Times New Roman"/>
          <w:bCs/>
          <w:szCs w:val="21"/>
        </w:rPr>
        <w:t>地方标准保持</w:t>
      </w:r>
      <w:r>
        <w:rPr>
          <w:rFonts w:hint="eastAsia" w:ascii="宋体" w:hAnsi="宋体" w:eastAsia="宋体" w:cs="Times New Roman"/>
          <w:bCs/>
          <w:szCs w:val="21"/>
        </w:rPr>
        <w:t>协调一致、无冲突。</w:t>
      </w:r>
    </w:p>
    <w:p w14:paraId="527EA8DC">
      <w:pPr>
        <w:pStyle w:val="8"/>
        <w:spacing w:line="360" w:lineRule="auto"/>
        <w:jc w:val="left"/>
        <w:rPr>
          <w:rFonts w:ascii="黑体" w:hAnsi="宋体" w:eastAsia="黑体" w:cs="Times New Roman"/>
          <w:kern w:val="0"/>
          <w:szCs w:val="21"/>
        </w:rPr>
      </w:pPr>
      <w:r>
        <w:rPr>
          <w:rFonts w:hint="eastAsia" w:ascii="黑体" w:hAnsi="宋体" w:eastAsia="黑体" w:cs="Times New Roman"/>
          <w:kern w:val="0"/>
          <w:szCs w:val="21"/>
        </w:rPr>
        <w:t>五、主要条款的说明，主要技术指标、参数、试验验证的论述</w:t>
      </w:r>
    </w:p>
    <w:p w14:paraId="4649114B">
      <w:pPr>
        <w:widowControl/>
        <w:numPr>
          <w:ilvl w:val="0"/>
          <w:numId w:val="0"/>
        </w:numPr>
        <w:spacing w:line="360" w:lineRule="auto"/>
        <w:ind w:firstLine="420" w:firstLineChars="200"/>
        <w:jc w:val="left"/>
        <w:rPr>
          <w:rFonts w:hint="eastAsia"/>
          <w:color w:val="FF0000"/>
        </w:rPr>
      </w:pPr>
      <w:r>
        <w:rPr>
          <w:rFonts w:hint="eastAsia"/>
        </w:rPr>
        <w:t>标准起草组深入走访调研，本标准主要内容技术指标的确立参考《中华人民共和国人民调解法》、</w:t>
      </w:r>
      <w:r>
        <w:rPr>
          <w:rFonts w:hint="eastAsia" w:ascii="宋体" w:hAnsi="宋体" w:eastAsia="宋体" w:cs="宋体"/>
          <w:kern w:val="0"/>
          <w:szCs w:val="21"/>
        </w:rPr>
        <w:t>SF/T 0083—2020《全国人民调解工作规范》</w:t>
      </w:r>
      <w:r>
        <w:rPr>
          <w:rFonts w:hint="eastAsia" w:ascii="宋体" w:hAnsi="宋体" w:eastAsia="宋体" w:cs="宋体"/>
          <w:color w:val="auto"/>
          <w:kern w:val="0"/>
          <w:szCs w:val="21"/>
        </w:rPr>
        <w:t>、T/PPAC 301—2019《知识产权纠纷调解管理规范》、</w:t>
      </w:r>
      <w:r>
        <w:rPr>
          <w:rFonts w:hint="eastAsia" w:ascii="宋体" w:hAnsi="宋体" w:eastAsia="宋体" w:cs="宋体"/>
          <w:kern w:val="0"/>
          <w:szCs w:val="21"/>
        </w:rPr>
        <w:t>依</w:t>
      </w:r>
      <w:r>
        <w:rPr>
          <w:rFonts w:hint="eastAsia"/>
        </w:rPr>
        <w:t>据行业内术语与定义制定《知识产权纠纷人民调解工作规范》。</w:t>
      </w:r>
    </w:p>
    <w:p w14:paraId="2EBD605F">
      <w:pPr>
        <w:widowControl/>
        <w:numPr>
          <w:ilvl w:val="0"/>
          <w:numId w:val="0"/>
        </w:numPr>
        <w:spacing w:line="360" w:lineRule="auto"/>
        <w:ind w:firstLine="420" w:firstLineChars="200"/>
        <w:jc w:val="left"/>
        <w:rPr>
          <w:rFonts w:hint="eastAsia"/>
        </w:rPr>
      </w:pPr>
      <w:r>
        <w:rPr>
          <w:rFonts w:hint="eastAsia"/>
        </w:rPr>
        <w:t>（</w:t>
      </w:r>
      <w:r>
        <w:rPr>
          <w:rFonts w:hint="eastAsia"/>
          <w:lang w:val="en-US" w:eastAsia="zh-CN"/>
        </w:rPr>
        <w:t>一</w:t>
      </w:r>
      <w:bookmarkStart w:id="0" w:name="_GoBack"/>
      <w:bookmarkEnd w:id="0"/>
      <w:r>
        <w:rPr>
          <w:rFonts w:hint="eastAsia"/>
        </w:rPr>
        <w:t>）4基本原则</w:t>
      </w:r>
    </w:p>
    <w:p w14:paraId="027A45CE">
      <w:pPr>
        <w:widowControl/>
        <w:numPr>
          <w:ilvl w:val="0"/>
          <w:numId w:val="0"/>
        </w:numPr>
        <w:spacing w:line="360" w:lineRule="auto"/>
        <w:ind w:firstLine="420" w:firstLineChars="200"/>
        <w:jc w:val="left"/>
        <w:rPr>
          <w:rFonts w:hint="eastAsia"/>
        </w:rPr>
      </w:pPr>
      <w:r>
        <w:rPr>
          <w:rFonts w:hint="eastAsia"/>
        </w:rPr>
        <w:t>本标准根据人民调解的性质、功能定位，通过通过与相关国家标准、行业标准和地方标准进行比对后，确定</w:t>
      </w:r>
      <w:r>
        <w:rPr>
          <w:rFonts w:hint="eastAsia"/>
          <w:lang w:val="en-US" w:eastAsia="zh-CN"/>
        </w:rPr>
        <w:t>了“</w:t>
      </w:r>
      <w:r>
        <w:rPr>
          <w:rFonts w:hint="eastAsia"/>
        </w:rPr>
        <w:t>公平公正、合法合规、平等自愿、公开透明、保守秘密</w:t>
      </w:r>
      <w:r>
        <w:rPr>
          <w:rFonts w:hint="eastAsia"/>
          <w:lang w:val="en-US" w:eastAsia="zh-CN"/>
        </w:rPr>
        <w:t>”这</w:t>
      </w:r>
      <w:r>
        <w:rPr>
          <w:rFonts w:hint="eastAsia"/>
        </w:rPr>
        <w:t>五个方面</w:t>
      </w:r>
      <w:r>
        <w:rPr>
          <w:rFonts w:hint="eastAsia"/>
          <w:lang w:val="en-US" w:eastAsia="zh-CN"/>
        </w:rPr>
        <w:t>要</w:t>
      </w:r>
      <w:r>
        <w:rPr>
          <w:rFonts w:hint="eastAsia"/>
        </w:rPr>
        <w:t>遵循的原则。</w:t>
      </w:r>
    </w:p>
    <w:p w14:paraId="59AA68AD">
      <w:pPr>
        <w:widowControl/>
        <w:numPr>
          <w:ilvl w:val="0"/>
          <w:numId w:val="0"/>
        </w:numPr>
        <w:spacing w:line="360" w:lineRule="auto"/>
        <w:ind w:firstLine="420" w:firstLineChars="200"/>
        <w:jc w:val="left"/>
        <w:rPr>
          <w:rFonts w:hint="eastAsia"/>
        </w:rPr>
      </w:pPr>
      <w:r>
        <w:rPr>
          <w:rFonts w:hint="eastAsia"/>
        </w:rPr>
        <w:t>（二）5机构建设</w:t>
      </w:r>
    </w:p>
    <w:p w14:paraId="17526AC8">
      <w:pPr>
        <w:widowControl/>
        <w:numPr>
          <w:ilvl w:val="0"/>
          <w:numId w:val="0"/>
        </w:numPr>
        <w:spacing w:line="360" w:lineRule="auto"/>
        <w:ind w:firstLine="420" w:firstLineChars="200"/>
        <w:jc w:val="left"/>
        <w:rPr>
          <w:rFonts w:hint="eastAsia"/>
        </w:rPr>
      </w:pPr>
      <w:r>
        <w:rPr>
          <w:rFonts w:hint="eastAsia"/>
        </w:rPr>
        <w:t>本章根据《中华人民共和国人民调解法》</w:t>
      </w:r>
      <w:r>
        <w:rPr>
          <w:rFonts w:hint="eastAsia" w:ascii="宋体" w:hAnsi="宋体" w:eastAsia="宋体" w:cs="宋体"/>
          <w:kern w:val="0"/>
          <w:szCs w:val="21"/>
        </w:rPr>
        <w:t>、SF/T 0083—2020《全国人民调解工作规范》相关规定制</w:t>
      </w:r>
      <w:r>
        <w:rPr>
          <w:rFonts w:hint="eastAsia"/>
        </w:rPr>
        <w:t>定。</w:t>
      </w:r>
    </w:p>
    <w:p w14:paraId="34A9E845">
      <w:pPr>
        <w:widowControl/>
        <w:numPr>
          <w:ilvl w:val="0"/>
          <w:numId w:val="0"/>
        </w:numPr>
        <w:spacing w:line="360" w:lineRule="auto"/>
        <w:ind w:firstLine="420" w:firstLineChars="200"/>
        <w:jc w:val="left"/>
        <w:rPr>
          <w:rFonts w:hint="default" w:eastAsiaTheme="minorEastAsia"/>
          <w:lang w:val="en-US" w:eastAsia="zh-CN"/>
        </w:rPr>
      </w:pPr>
      <w:r>
        <w:rPr>
          <w:rFonts w:hint="eastAsia"/>
        </w:rPr>
        <w:t>（三）</w:t>
      </w:r>
      <w:r>
        <w:rPr>
          <w:rFonts w:hint="eastAsia"/>
          <w:lang w:val="en-US" w:eastAsia="zh-CN"/>
        </w:rPr>
        <w:t>6案件受理</w:t>
      </w:r>
    </w:p>
    <w:p w14:paraId="0BB57B0D">
      <w:pPr>
        <w:widowControl/>
        <w:numPr>
          <w:ilvl w:val="0"/>
          <w:numId w:val="0"/>
        </w:numPr>
        <w:spacing w:line="360" w:lineRule="auto"/>
        <w:ind w:firstLine="420" w:firstLineChars="200"/>
        <w:jc w:val="left"/>
        <w:rPr>
          <w:rFonts w:hint="eastAsia"/>
        </w:rPr>
      </w:pPr>
      <w:r>
        <w:rPr>
          <w:rFonts w:hint="eastAsia"/>
        </w:rPr>
        <w:t>依</w:t>
      </w:r>
      <w:r>
        <w:rPr>
          <w:rFonts w:hint="eastAsia" w:ascii="宋体" w:hAnsi="宋体" w:eastAsia="宋体" w:cs="宋体"/>
          <w:kern w:val="0"/>
          <w:szCs w:val="21"/>
        </w:rPr>
        <w:t>据SF/T 0083—2020《</w:t>
      </w:r>
      <w:r>
        <w:rPr>
          <w:rFonts w:hint="eastAsia"/>
        </w:rPr>
        <w:t>全国人民调解工作规范》，充分考虑</w:t>
      </w:r>
      <w:r>
        <w:rPr>
          <w:rFonts w:hint="eastAsia"/>
          <w:lang w:val="en-US" w:eastAsia="zh-CN"/>
        </w:rPr>
        <w:t>我市知识产权纠纷案件</w:t>
      </w:r>
      <w:r>
        <w:rPr>
          <w:rFonts w:hint="eastAsia"/>
        </w:rPr>
        <w:t>的</w:t>
      </w:r>
      <w:r>
        <w:rPr>
          <w:rFonts w:hint="eastAsia"/>
          <w:lang w:val="en-US" w:eastAsia="zh-CN"/>
        </w:rPr>
        <w:t>种类及</w:t>
      </w:r>
      <w:r>
        <w:rPr>
          <w:rFonts w:hint="eastAsia"/>
        </w:rPr>
        <w:t>特点</w:t>
      </w:r>
      <w:r>
        <w:rPr>
          <w:rFonts w:hint="eastAsia"/>
          <w:lang w:val="en-US" w:eastAsia="zh-CN"/>
        </w:rPr>
        <w:t>及人民调解</w:t>
      </w:r>
      <w:r>
        <w:rPr>
          <w:rFonts w:hint="eastAsia"/>
        </w:rPr>
        <w:t>工作</w:t>
      </w:r>
      <w:r>
        <w:rPr>
          <w:rFonts w:hint="eastAsia"/>
          <w:lang w:val="en-US" w:eastAsia="zh-CN"/>
        </w:rPr>
        <w:t>的实际</w:t>
      </w:r>
      <w:r>
        <w:rPr>
          <w:rFonts w:hint="eastAsia"/>
        </w:rPr>
        <w:t>情况，制定</w:t>
      </w:r>
      <w:r>
        <w:rPr>
          <w:rFonts w:hint="eastAsia"/>
          <w:lang w:val="en-US" w:eastAsia="zh-CN"/>
        </w:rPr>
        <w:t>了长春市知识产权纠纷人民调解案件受理的范围、途径、条件，案件材料的接收与审查以及调解台账的登记等章节内容</w:t>
      </w:r>
      <w:r>
        <w:rPr>
          <w:rFonts w:hint="eastAsia"/>
        </w:rPr>
        <w:t>。</w:t>
      </w:r>
    </w:p>
    <w:p w14:paraId="784A18F9">
      <w:pPr>
        <w:widowControl/>
        <w:numPr>
          <w:ilvl w:val="0"/>
          <w:numId w:val="0"/>
        </w:numPr>
        <w:spacing w:line="360" w:lineRule="auto"/>
        <w:ind w:firstLine="420" w:firstLineChars="200"/>
        <w:jc w:val="left"/>
        <w:rPr>
          <w:rFonts w:hint="eastAsia"/>
        </w:rPr>
      </w:pPr>
      <w:r>
        <w:rPr>
          <w:rFonts w:hint="eastAsia"/>
        </w:rPr>
        <w:t>（四）11卷宗归档</w:t>
      </w:r>
    </w:p>
    <w:p w14:paraId="110A852F">
      <w:pPr>
        <w:widowControl/>
        <w:numPr>
          <w:ilvl w:val="0"/>
          <w:numId w:val="0"/>
        </w:numPr>
        <w:spacing w:line="360" w:lineRule="auto"/>
        <w:ind w:firstLine="420" w:firstLineChars="200"/>
        <w:jc w:val="left"/>
        <w:rPr>
          <w:rFonts w:hint="eastAsia"/>
        </w:rPr>
      </w:pPr>
      <w:r>
        <w:rPr>
          <w:rFonts w:hint="eastAsia"/>
        </w:rPr>
        <w:t>根据长春市司法局《人民调解卷宗制作指引》要求</w:t>
      </w:r>
      <w:r>
        <w:rPr>
          <w:rFonts w:hint="eastAsia"/>
          <w:lang w:eastAsia="zh-CN"/>
        </w:rPr>
        <w:t>，</w:t>
      </w:r>
      <w:r>
        <w:rPr>
          <w:rFonts w:hint="eastAsia"/>
          <w:lang w:val="en-US" w:eastAsia="zh-CN"/>
        </w:rPr>
        <w:t>同时结合长春市知识产权保护中心的实际工作编制了此章内容</w:t>
      </w:r>
      <w:r>
        <w:rPr>
          <w:rFonts w:hint="eastAsia"/>
        </w:rPr>
        <w:t>。</w:t>
      </w:r>
    </w:p>
    <w:p w14:paraId="05D569D0">
      <w:pPr>
        <w:widowControl/>
        <w:numPr>
          <w:ilvl w:val="0"/>
          <w:numId w:val="0"/>
        </w:numPr>
        <w:spacing w:line="360" w:lineRule="auto"/>
        <w:ind w:firstLine="420" w:firstLineChars="200"/>
        <w:jc w:val="left"/>
        <w:rPr>
          <w:rFonts w:ascii="黑体" w:hAnsi="宋体" w:eastAsia="黑体" w:cs="Times New Roman"/>
          <w:kern w:val="0"/>
          <w:szCs w:val="21"/>
        </w:rPr>
      </w:pPr>
      <w:r>
        <w:rPr>
          <w:rFonts w:hint="eastAsia" w:eastAsia="黑体"/>
          <w:lang w:val="en-US" w:eastAsia="zh-CN"/>
        </w:rPr>
        <w:t>六、</w:t>
      </w:r>
      <w:r>
        <w:rPr>
          <w:rFonts w:hint="eastAsia" w:ascii="黑体" w:hAnsi="宋体" w:eastAsia="黑体" w:cs="Times New Roman"/>
          <w:kern w:val="0"/>
          <w:szCs w:val="21"/>
        </w:rPr>
        <w:t>重大分歧意见的处理依据和结果</w:t>
      </w:r>
    </w:p>
    <w:p w14:paraId="2635D155">
      <w:pPr>
        <w:widowControl/>
        <w:spacing w:line="360" w:lineRule="auto"/>
        <w:ind w:firstLine="420" w:firstLineChars="200"/>
        <w:jc w:val="left"/>
        <w:rPr>
          <w:rFonts w:hint="eastAsia" w:cs="Times New Roman" w:asciiTheme="minorEastAsia" w:hAnsiTheme="minorEastAsia"/>
          <w:kern w:val="0"/>
          <w:szCs w:val="21"/>
        </w:rPr>
      </w:pPr>
      <w:r>
        <w:rPr>
          <w:rFonts w:hint="eastAsia" w:cs="Times New Roman" w:asciiTheme="minorEastAsia" w:hAnsiTheme="minorEastAsia"/>
          <w:kern w:val="0"/>
          <w:szCs w:val="21"/>
        </w:rPr>
        <w:t>标准起草过程中，未出现重大分歧意见。</w:t>
      </w:r>
    </w:p>
    <w:p w14:paraId="4E0FF267">
      <w:pPr>
        <w:widowControl/>
        <w:spacing w:line="360" w:lineRule="auto"/>
        <w:ind w:firstLine="420" w:firstLineChars="200"/>
        <w:jc w:val="left"/>
        <w:rPr>
          <w:rFonts w:ascii="宋体" w:hAnsi="宋体" w:eastAsia="黑体" w:cs="宋体"/>
          <w:kern w:val="0"/>
          <w:szCs w:val="21"/>
        </w:rPr>
      </w:pPr>
      <w:r>
        <w:rPr>
          <w:rFonts w:hint="eastAsia" w:ascii="黑体" w:hAnsi="宋体" w:eastAsia="黑体" w:cs="宋体"/>
          <w:kern w:val="0"/>
          <w:szCs w:val="21"/>
        </w:rPr>
        <w:t>七、采用国际标准或国外先进标准的，说明采标程度，以及国内外同类标准水平的对比情况。</w:t>
      </w:r>
    </w:p>
    <w:p w14:paraId="109691C8">
      <w:pPr>
        <w:widowControl/>
        <w:spacing w:line="360" w:lineRule="auto"/>
        <w:ind w:firstLine="420" w:firstLineChars="200"/>
        <w:jc w:val="left"/>
        <w:rPr>
          <w:rFonts w:ascii="Times New Roman" w:hAnsi="Times New Roman" w:eastAsia="宋体" w:cs="宋体"/>
          <w:kern w:val="0"/>
          <w:szCs w:val="21"/>
        </w:rPr>
      </w:pPr>
      <w:r>
        <w:rPr>
          <w:rFonts w:hint="eastAsia" w:ascii="Times New Roman" w:hAnsi="Times New Roman" w:eastAsia="宋体" w:cs="宋体"/>
          <w:kern w:val="0"/>
          <w:szCs w:val="21"/>
        </w:rPr>
        <w:t>（一</w:t>
      </w:r>
      <w:r>
        <w:rPr>
          <w:rFonts w:ascii="Times New Roman" w:hAnsi="Times New Roman" w:eastAsia="宋体" w:cs="宋体"/>
          <w:kern w:val="0"/>
          <w:szCs w:val="21"/>
        </w:rPr>
        <w:t>）</w:t>
      </w:r>
      <w:r>
        <w:rPr>
          <w:rFonts w:hint="eastAsia" w:ascii="Times New Roman" w:hAnsi="Times New Roman" w:eastAsia="宋体" w:cs="宋体"/>
          <w:kern w:val="0"/>
          <w:szCs w:val="21"/>
        </w:rPr>
        <w:t>标准</w:t>
      </w:r>
      <w:r>
        <w:rPr>
          <w:rFonts w:ascii="Times New Roman" w:hAnsi="Times New Roman" w:eastAsia="宋体" w:cs="宋体"/>
          <w:kern w:val="0"/>
          <w:szCs w:val="21"/>
        </w:rPr>
        <w:t>起草过程中未检索到</w:t>
      </w:r>
      <w:r>
        <w:rPr>
          <w:rFonts w:hint="eastAsia" w:ascii="Times New Roman" w:hAnsi="Times New Roman" w:eastAsia="宋体" w:cs="宋体"/>
          <w:kern w:val="0"/>
          <w:szCs w:val="21"/>
        </w:rPr>
        <w:t>相关</w:t>
      </w:r>
      <w:r>
        <w:rPr>
          <w:rFonts w:ascii="Times New Roman" w:hAnsi="Times New Roman" w:eastAsia="宋体" w:cs="宋体"/>
          <w:kern w:val="0"/>
          <w:szCs w:val="21"/>
        </w:rPr>
        <w:t>国际标准和国外先进标准</w:t>
      </w:r>
      <w:r>
        <w:rPr>
          <w:rFonts w:hint="eastAsia" w:ascii="Times New Roman" w:hAnsi="Times New Roman" w:eastAsia="宋体" w:cs="宋体"/>
          <w:kern w:val="0"/>
          <w:szCs w:val="21"/>
        </w:rPr>
        <w:t>。</w:t>
      </w:r>
    </w:p>
    <w:p w14:paraId="4DF469C6">
      <w:pPr>
        <w:widowControl/>
        <w:spacing w:line="360" w:lineRule="auto"/>
        <w:ind w:firstLine="420" w:firstLineChars="200"/>
        <w:jc w:val="left"/>
        <w:rPr>
          <w:rFonts w:ascii="Times New Roman" w:hAnsi="Times New Roman" w:eastAsia="宋体" w:cs="宋体"/>
          <w:kern w:val="0"/>
          <w:szCs w:val="21"/>
        </w:rPr>
      </w:pPr>
      <w:r>
        <w:rPr>
          <w:rFonts w:hint="eastAsia" w:ascii="Times New Roman" w:hAnsi="Times New Roman" w:eastAsia="宋体" w:cs="宋体"/>
          <w:kern w:val="0"/>
          <w:szCs w:val="21"/>
        </w:rPr>
        <w:t>（二</w:t>
      </w:r>
      <w:r>
        <w:rPr>
          <w:rFonts w:ascii="Times New Roman" w:hAnsi="Times New Roman" w:eastAsia="宋体" w:cs="宋体"/>
          <w:kern w:val="0"/>
          <w:szCs w:val="21"/>
        </w:rPr>
        <w:t>）</w:t>
      </w:r>
      <w:r>
        <w:rPr>
          <w:rFonts w:hint="eastAsia" w:ascii="Times New Roman" w:hAnsi="Times New Roman" w:eastAsia="宋体" w:cs="宋体"/>
          <w:kern w:val="0"/>
          <w:szCs w:val="21"/>
        </w:rPr>
        <w:t>与国</w:t>
      </w:r>
      <w:r>
        <w:rPr>
          <w:rFonts w:ascii="Times New Roman" w:hAnsi="Times New Roman" w:eastAsia="宋体" w:cs="宋体"/>
          <w:kern w:val="0"/>
          <w:szCs w:val="21"/>
        </w:rPr>
        <w:t>内同类标准水平的对比情况</w:t>
      </w:r>
      <w:r>
        <w:rPr>
          <w:rFonts w:hint="eastAsia" w:ascii="Times New Roman" w:hAnsi="Times New Roman" w:eastAsia="宋体" w:cs="宋体"/>
          <w:kern w:val="0"/>
          <w:szCs w:val="21"/>
        </w:rPr>
        <w:t>。</w:t>
      </w:r>
    </w:p>
    <w:p w14:paraId="4F244F32">
      <w:pPr>
        <w:widowControl/>
        <w:numPr>
          <w:ilvl w:val="0"/>
          <w:numId w:val="0"/>
        </w:numPr>
        <w:spacing w:line="360" w:lineRule="auto"/>
        <w:ind w:firstLine="420" w:firstLineChars="200"/>
        <w:jc w:val="left"/>
        <w:rPr>
          <w:rFonts w:hint="eastAsia" w:ascii="宋体" w:hAnsi="宋体" w:eastAsia="宋体" w:cs="宋体"/>
          <w:kern w:val="0"/>
          <w:szCs w:val="21"/>
          <w:lang w:eastAsia="zh-CN"/>
        </w:rPr>
      </w:pPr>
      <w:r>
        <w:rPr>
          <w:rFonts w:hint="eastAsia" w:ascii="Times New Roman" w:hAnsi="Times New Roman" w:eastAsia="宋体" w:cs="宋体"/>
          <w:kern w:val="0"/>
          <w:szCs w:val="21"/>
          <w:lang w:eastAsia="zh-CN"/>
        </w:rPr>
        <w:t>当前，在知识产权纠纷调解领域，省级地方标准有新疆维吾尔自</w:t>
      </w:r>
      <w:r>
        <w:rPr>
          <w:rFonts w:hint="eastAsia" w:ascii="宋体" w:hAnsi="宋体" w:eastAsia="宋体" w:cs="宋体"/>
          <w:kern w:val="0"/>
          <w:szCs w:val="21"/>
          <w:lang w:eastAsia="zh-CN"/>
        </w:rPr>
        <w:t>治区地方标准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65/T 4456—2021《知识产权纠纷调解服务规范》、黑龙江省地方标准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23/T 3606—2023《知识产权纠纷调解服务规范》及内蒙古自治区地方标准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15/T 3236. 1～3—2023《知识产权纠纷人民调解规范》。市级地方标准有南京市地方标准 GB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3201/T</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1098.1～4—2022《知识产权纠纷人民调解规范》、佛山市地方标准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4406/T 3—2021《知识产权纠纷调解服务规范》、沈阳市地方标准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2101/T 0057—2022《知识产权纠纷人民调解服务规范》、与四川省眉山市地方标准 DB</w:t>
      </w:r>
      <w:r>
        <w:rPr>
          <w:rFonts w:hint="eastAsia" w:ascii="宋体" w:hAnsi="宋体" w:eastAsia="宋体" w:cs="宋体"/>
          <w:kern w:val="0"/>
          <w:szCs w:val="21"/>
          <w:lang w:val="en-US" w:eastAsia="zh-CN"/>
        </w:rPr>
        <w:t xml:space="preserve"> </w:t>
      </w:r>
      <w:r>
        <w:rPr>
          <w:rFonts w:hint="eastAsia" w:ascii="宋体" w:hAnsi="宋体" w:eastAsia="宋体" w:cs="宋体"/>
          <w:kern w:val="0"/>
          <w:szCs w:val="21"/>
          <w:lang w:eastAsia="zh-CN"/>
        </w:rPr>
        <w:t>5114/T 42—2022《知识产权纠纷行政调解工作规范》。</w:t>
      </w:r>
    </w:p>
    <w:p w14:paraId="6769552D">
      <w:pPr>
        <w:widowControl/>
        <w:numPr>
          <w:ilvl w:val="0"/>
          <w:numId w:val="0"/>
        </w:numPr>
        <w:spacing w:line="360" w:lineRule="auto"/>
        <w:ind w:firstLine="420" w:firstLineChars="200"/>
        <w:jc w:val="left"/>
        <w:rPr>
          <w:rFonts w:hint="eastAsia" w:ascii="宋体" w:hAnsi="宋体" w:eastAsia="宋体" w:cs="宋体"/>
          <w:kern w:val="0"/>
          <w:szCs w:val="21"/>
          <w:lang w:eastAsia="zh-CN"/>
        </w:rPr>
      </w:pPr>
      <w:r>
        <w:rPr>
          <w:rFonts w:hint="eastAsia" w:ascii="宋体" w:hAnsi="宋体" w:eastAsia="宋体" w:cs="宋体"/>
          <w:kern w:val="0"/>
          <w:szCs w:val="21"/>
          <w:lang w:eastAsia="zh-CN"/>
        </w:rPr>
        <w:t>首先，在规范范围上，</w:t>
      </w:r>
      <w:r>
        <w:rPr>
          <w:rFonts w:hint="eastAsia" w:ascii="宋体" w:hAnsi="宋体" w:eastAsia="宋体" w:cs="宋体"/>
          <w:kern w:val="0"/>
          <w:szCs w:val="21"/>
          <w:lang w:val="en-US" w:eastAsia="zh-CN"/>
        </w:rPr>
        <w:t>本标准</w:t>
      </w:r>
      <w:r>
        <w:rPr>
          <w:rFonts w:hint="eastAsia" w:ascii="宋体" w:hAnsi="宋体" w:eastAsia="宋体" w:cs="宋体"/>
          <w:kern w:val="0"/>
          <w:szCs w:val="21"/>
          <w:lang w:eastAsia="zh-CN"/>
        </w:rPr>
        <w:t>《知识产权纠纷人民调解工作规范》主要针对人民调解方式，不同于上述其他省市的行政调解或涵盖所有的调解方式，</w:t>
      </w:r>
      <w:r>
        <w:rPr>
          <w:rFonts w:hint="eastAsia" w:ascii="宋体" w:hAnsi="宋体" w:eastAsia="宋体" w:cs="宋体"/>
          <w:kern w:val="0"/>
          <w:szCs w:val="21"/>
          <w:lang w:val="en-US" w:eastAsia="zh-CN"/>
        </w:rPr>
        <w:t>因此更</w:t>
      </w:r>
      <w:r>
        <w:rPr>
          <w:rFonts w:hint="eastAsia" w:ascii="宋体" w:hAnsi="宋体" w:eastAsia="宋体" w:cs="宋体"/>
          <w:kern w:val="0"/>
          <w:szCs w:val="21"/>
          <w:lang w:eastAsia="zh-CN"/>
        </w:rPr>
        <w:t>具有针对性。</w:t>
      </w:r>
    </w:p>
    <w:p w14:paraId="134AA8E1">
      <w:pPr>
        <w:widowControl/>
        <w:numPr>
          <w:ilvl w:val="0"/>
          <w:numId w:val="0"/>
        </w:numPr>
        <w:spacing w:line="360" w:lineRule="auto"/>
        <w:ind w:firstLine="420" w:firstLineChars="200"/>
        <w:jc w:val="left"/>
        <w:rPr>
          <w:rFonts w:hint="eastAsia" w:ascii="宋体" w:hAnsi="宋体" w:eastAsia="宋体" w:cs="宋体"/>
          <w:kern w:val="0"/>
          <w:szCs w:val="21"/>
          <w:lang w:eastAsia="zh-CN"/>
        </w:rPr>
      </w:pPr>
      <w:r>
        <w:rPr>
          <w:rFonts w:hint="eastAsia" w:ascii="宋体" w:hAnsi="宋体" w:eastAsia="宋体" w:cs="宋体"/>
          <w:kern w:val="0"/>
          <w:szCs w:val="21"/>
          <w:lang w:eastAsia="zh-CN"/>
        </w:rPr>
        <w:t>其次，在规范内容上，</w:t>
      </w:r>
      <w:r>
        <w:rPr>
          <w:rFonts w:hint="eastAsia" w:ascii="宋体" w:hAnsi="宋体" w:eastAsia="宋体" w:cs="宋体"/>
          <w:kern w:val="0"/>
          <w:szCs w:val="21"/>
          <w:lang w:val="en-US" w:eastAsia="zh-CN"/>
        </w:rPr>
        <w:t>本标准</w:t>
      </w:r>
      <w:r>
        <w:rPr>
          <w:rFonts w:hint="eastAsia" w:ascii="宋体" w:hAnsi="宋体" w:eastAsia="宋体" w:cs="宋体"/>
          <w:kern w:val="0"/>
          <w:szCs w:val="21"/>
          <w:lang w:eastAsia="zh-CN"/>
        </w:rPr>
        <w:t>主要详细规定了具有普遍适用性的人民调解程序规范，且从调解受理至调解终结每个环节的调解文书都做了细致的格式标准，以此来保障作为知识产权纠纷调解工作的主要环节：调解程序</w:t>
      </w:r>
      <w:r>
        <w:rPr>
          <w:rFonts w:hint="eastAsia" w:ascii="宋体" w:hAnsi="宋体" w:eastAsia="宋体" w:cs="宋体"/>
          <w:kern w:val="0"/>
          <w:szCs w:val="21"/>
          <w:lang w:val="en-US" w:eastAsia="zh-CN"/>
        </w:rPr>
        <w:t>上更加</w:t>
      </w:r>
      <w:r>
        <w:rPr>
          <w:rFonts w:hint="eastAsia" w:ascii="宋体" w:hAnsi="宋体" w:eastAsia="宋体" w:cs="宋体"/>
          <w:kern w:val="0"/>
          <w:szCs w:val="21"/>
          <w:lang w:eastAsia="zh-CN"/>
        </w:rPr>
        <w:t>合</w:t>
      </w:r>
      <w:r>
        <w:rPr>
          <w:rFonts w:hint="eastAsia" w:ascii="宋体" w:hAnsi="宋体" w:eastAsia="宋体" w:cs="宋体"/>
          <w:kern w:val="0"/>
          <w:szCs w:val="21"/>
          <w:lang w:val="en-US" w:eastAsia="zh-CN"/>
        </w:rPr>
        <w:t>规</w:t>
      </w:r>
      <w:r>
        <w:rPr>
          <w:rFonts w:hint="eastAsia" w:ascii="宋体" w:hAnsi="宋体" w:eastAsia="宋体" w:cs="宋体"/>
          <w:kern w:val="0"/>
          <w:szCs w:val="21"/>
          <w:lang w:eastAsia="zh-CN"/>
        </w:rPr>
        <w:t>合理。</w:t>
      </w:r>
    </w:p>
    <w:p w14:paraId="5C7102BB">
      <w:pPr>
        <w:widowControl/>
        <w:numPr>
          <w:ilvl w:val="0"/>
          <w:numId w:val="0"/>
        </w:numPr>
        <w:spacing w:line="360" w:lineRule="auto"/>
        <w:ind w:firstLine="420" w:firstLineChars="200"/>
        <w:jc w:val="left"/>
        <w:rPr>
          <w:rFonts w:ascii="Times New Roman" w:hAnsi="Times New Roman" w:eastAsia="宋体" w:cs="宋体"/>
          <w:kern w:val="0"/>
          <w:szCs w:val="21"/>
        </w:rPr>
      </w:pPr>
      <w:r>
        <w:rPr>
          <w:rFonts w:hint="eastAsia" w:ascii="宋体" w:hAnsi="宋体" w:eastAsia="宋体" w:cs="宋体"/>
          <w:kern w:val="0"/>
          <w:szCs w:val="21"/>
          <w:lang w:eastAsia="zh-CN"/>
        </w:rPr>
        <w:t>最后，对于上述其他地区标准中提到的调解员的管理或服务评价等方面，起草组因考虑到各地的调解机构建设与当地经济发展水平、行业发展水平等因素密切相关，不具备较强的普适性，因此</w:t>
      </w:r>
      <w:r>
        <w:rPr>
          <w:rFonts w:hint="eastAsia" w:ascii="宋体" w:hAnsi="宋体" w:eastAsia="宋体" w:cs="宋体"/>
          <w:kern w:val="0"/>
          <w:szCs w:val="21"/>
          <w:lang w:val="en-US" w:eastAsia="zh-CN"/>
        </w:rPr>
        <w:t>本标准</w:t>
      </w:r>
      <w:r>
        <w:rPr>
          <w:rFonts w:hint="eastAsia" w:ascii="宋体" w:hAnsi="宋体" w:eastAsia="宋体" w:cs="宋体"/>
          <w:kern w:val="0"/>
          <w:szCs w:val="21"/>
          <w:lang w:eastAsia="zh-CN"/>
        </w:rPr>
        <w:t>未进行规范。</w:t>
      </w:r>
    </w:p>
    <w:p w14:paraId="63698124">
      <w:pPr>
        <w:widowControl/>
        <w:spacing w:line="360" w:lineRule="auto"/>
        <w:ind w:firstLine="420" w:firstLineChars="200"/>
        <w:jc w:val="left"/>
        <w:rPr>
          <w:rFonts w:ascii="黑体" w:hAnsi="宋体" w:eastAsia="黑体" w:cs="Times New Roman"/>
          <w:kern w:val="0"/>
          <w:szCs w:val="21"/>
        </w:rPr>
      </w:pPr>
      <w:r>
        <w:rPr>
          <w:rFonts w:hint="eastAsia" w:ascii="黑体" w:hAnsi="宋体" w:eastAsia="黑体" w:cs="Times New Roman"/>
          <w:kern w:val="0"/>
          <w:szCs w:val="21"/>
        </w:rPr>
        <w:t>八、贯彻标准的措施建议</w:t>
      </w:r>
      <w:r>
        <w:rPr>
          <w:rFonts w:ascii="黑体" w:hAnsi="宋体" w:eastAsia="黑体" w:cs="Times New Roman"/>
          <w:kern w:val="0"/>
          <w:szCs w:val="21"/>
        </w:rPr>
        <w:t xml:space="preserve"> </w:t>
      </w:r>
    </w:p>
    <w:p w14:paraId="0134ACF5">
      <w:pPr>
        <w:widowControl/>
        <w:spacing w:line="360" w:lineRule="auto"/>
        <w:ind w:firstLine="420" w:firstLineChars="200"/>
        <w:jc w:val="left"/>
        <w:rPr>
          <w:rFonts w:hint="eastAsia" w:ascii="Times New Roman" w:hAnsi="Times New Roman" w:eastAsia="宋体" w:cs="Times New Roman"/>
          <w:bCs/>
          <w:szCs w:val="21"/>
        </w:rPr>
      </w:pPr>
      <w:r>
        <w:rPr>
          <w:rFonts w:hint="eastAsia" w:ascii="Times New Roman" w:hAnsi="Times New Roman" w:eastAsia="宋体" w:cs="Times New Roman"/>
          <w:bCs/>
          <w:color w:val="auto"/>
          <w:szCs w:val="21"/>
        </w:rPr>
        <w:t>将对标准的执行情况作为年度绩效考核的重要内容，保障标准的各</w:t>
      </w:r>
      <w:r>
        <w:rPr>
          <w:rFonts w:hint="eastAsia" w:ascii="Times New Roman" w:hAnsi="Times New Roman" w:eastAsia="宋体" w:cs="Times New Roman"/>
          <w:bCs/>
          <w:szCs w:val="21"/>
        </w:rPr>
        <w:t>项要求得到有效贯彻执行。通过对标准内容开展宣讲</w:t>
      </w:r>
      <w:r>
        <w:rPr>
          <w:rFonts w:hint="eastAsia" w:ascii="Times New Roman" w:hAnsi="Times New Roman" w:eastAsia="宋体" w:cs="Times New Roman"/>
          <w:bCs/>
          <w:szCs w:val="21"/>
          <w:lang w:eastAsia="zh-CN"/>
        </w:rPr>
        <w:t>，</w:t>
      </w:r>
      <w:r>
        <w:rPr>
          <w:rFonts w:hint="eastAsia" w:ascii="Times New Roman" w:hAnsi="Times New Roman" w:eastAsia="宋体" w:cs="Times New Roman"/>
          <w:bCs/>
          <w:szCs w:val="21"/>
        </w:rPr>
        <w:t>组织专家进行专项解读、案件指导等形式对相关工作人员和调解员进行集中</w:t>
      </w:r>
      <w:r>
        <w:rPr>
          <w:rFonts w:hint="eastAsia" w:ascii="Times New Roman" w:hAnsi="Times New Roman" w:eastAsia="宋体" w:cs="Times New Roman"/>
          <w:bCs/>
          <w:szCs w:val="21"/>
          <w:lang w:val="en-US" w:eastAsia="zh-CN"/>
        </w:rPr>
        <w:t>授课</w:t>
      </w:r>
      <w:r>
        <w:rPr>
          <w:rFonts w:hint="eastAsia" w:ascii="Times New Roman" w:hAnsi="Times New Roman" w:eastAsia="宋体" w:cs="Times New Roman"/>
          <w:bCs/>
          <w:szCs w:val="21"/>
        </w:rPr>
        <w:t>培训，规范调解工作中的程序及相关调解文书的格式，发挥标准提升、规范业务工作的作用，进一步提升知识产权纠纷人民调解工作</w:t>
      </w:r>
      <w:r>
        <w:rPr>
          <w:rFonts w:hint="eastAsia" w:ascii="Times New Roman" w:hAnsi="Times New Roman" w:eastAsia="宋体" w:cs="Times New Roman"/>
          <w:bCs/>
          <w:szCs w:val="21"/>
          <w:lang w:val="en-US" w:eastAsia="zh-CN"/>
        </w:rPr>
        <w:t>的</w:t>
      </w:r>
      <w:r>
        <w:rPr>
          <w:rFonts w:hint="eastAsia" w:ascii="Times New Roman" w:hAnsi="Times New Roman" w:eastAsia="宋体" w:cs="Times New Roman"/>
          <w:bCs/>
          <w:szCs w:val="21"/>
        </w:rPr>
        <w:t>质效。</w:t>
      </w:r>
    </w:p>
    <w:p w14:paraId="787E26D4">
      <w:pPr>
        <w:widowControl/>
        <w:spacing w:line="360" w:lineRule="auto"/>
        <w:ind w:firstLine="420" w:firstLineChars="200"/>
        <w:jc w:val="left"/>
        <w:rPr>
          <w:rFonts w:ascii="黑体" w:hAnsi="宋体" w:eastAsia="黑体" w:cs="Times New Roman"/>
          <w:kern w:val="0"/>
          <w:szCs w:val="21"/>
        </w:rPr>
      </w:pPr>
      <w:r>
        <w:rPr>
          <w:rFonts w:hint="eastAsia" w:ascii="黑体" w:hAnsi="宋体" w:eastAsia="黑体" w:cs="Times New Roman"/>
          <w:kern w:val="0"/>
          <w:szCs w:val="21"/>
        </w:rPr>
        <w:t>九、社会效益分析</w:t>
      </w:r>
    </w:p>
    <w:p w14:paraId="75153F54">
      <w:pPr>
        <w:pStyle w:val="8"/>
        <w:spacing w:line="360" w:lineRule="auto"/>
        <w:ind w:firstLine="424" w:firstLineChars="202"/>
        <w:jc w:val="left"/>
        <w:rPr>
          <w:rFonts w:ascii="Times New Roman" w:hAnsi="Times New Roman" w:eastAsia="宋体" w:cs="Times New Roman"/>
          <w:szCs w:val="24"/>
        </w:rPr>
      </w:pPr>
      <w:r>
        <w:rPr>
          <w:rFonts w:hint="eastAsia" w:ascii="Times New Roman" w:hAnsi="Times New Roman" w:eastAsia="宋体" w:cs="Times New Roman"/>
          <w:szCs w:val="24"/>
        </w:rPr>
        <w:t>《知识产权纠纷人民调解工作规范》</w:t>
      </w:r>
      <w:r>
        <w:rPr>
          <w:rFonts w:hint="eastAsia" w:ascii="Times New Roman" w:hAnsi="Times New Roman" w:eastAsia="宋体" w:cs="Times New Roman"/>
          <w:szCs w:val="24"/>
          <w:lang w:val="en-US" w:eastAsia="zh-CN"/>
        </w:rPr>
        <w:t>作为全长春市首个知识产权纠纷人民调解领域的标准，其</w:t>
      </w:r>
      <w:r>
        <w:rPr>
          <w:rFonts w:hint="eastAsia" w:ascii="Times New Roman" w:hAnsi="Times New Roman" w:eastAsia="宋体" w:cs="Times New Roman"/>
          <w:szCs w:val="24"/>
        </w:rPr>
        <w:t>制定</w:t>
      </w:r>
      <w:r>
        <w:rPr>
          <w:rFonts w:hint="eastAsia" w:ascii="Times New Roman" w:hAnsi="Times New Roman" w:eastAsia="宋体" w:cs="Times New Roman"/>
          <w:szCs w:val="24"/>
          <w:lang w:val="en-US" w:eastAsia="zh-CN"/>
        </w:rPr>
        <w:t>与</w:t>
      </w:r>
      <w:r>
        <w:rPr>
          <w:rFonts w:hint="eastAsia" w:ascii="Times New Roman" w:hAnsi="Times New Roman" w:eastAsia="宋体" w:cs="Times New Roman"/>
          <w:szCs w:val="24"/>
        </w:rPr>
        <w:t>实施</w:t>
      </w:r>
      <w:r>
        <w:rPr>
          <w:rFonts w:hint="eastAsia" w:ascii="Times New Roman" w:hAnsi="Times New Roman" w:eastAsia="宋体" w:cs="Times New Roman"/>
          <w:szCs w:val="24"/>
          <w:lang w:val="en-US" w:eastAsia="zh-CN"/>
        </w:rPr>
        <w:t>将</w:t>
      </w:r>
      <w:r>
        <w:rPr>
          <w:rFonts w:hint="eastAsia" w:ascii="Times New Roman" w:hAnsi="Times New Roman" w:eastAsia="宋体" w:cs="Times New Roman"/>
          <w:szCs w:val="24"/>
        </w:rPr>
        <w:t>进一步明确知识产权人民调解工作规则</w:t>
      </w:r>
      <w:r>
        <w:rPr>
          <w:rFonts w:hint="eastAsia" w:ascii="Times New Roman" w:hAnsi="Times New Roman" w:eastAsia="宋体" w:cs="Times New Roman"/>
          <w:szCs w:val="24"/>
          <w:lang w:eastAsia="zh-CN"/>
        </w:rPr>
        <w:t>，</w:t>
      </w:r>
      <w:r>
        <w:rPr>
          <w:rFonts w:hint="eastAsia" w:ascii="Times New Roman" w:hAnsi="Times New Roman" w:eastAsia="宋体" w:cs="Times New Roman"/>
          <w:bCs/>
          <w:szCs w:val="21"/>
        </w:rPr>
        <w:t>更好地发挥行业性专业性人民调解组织在解决知识产权纠纷中的社会作用</w:t>
      </w:r>
      <w:r>
        <w:rPr>
          <w:rFonts w:hint="eastAsia" w:ascii="Times New Roman" w:hAnsi="Times New Roman" w:eastAsia="宋体" w:cs="Times New Roman"/>
          <w:bCs/>
          <w:szCs w:val="21"/>
          <w:lang w:eastAsia="zh-CN"/>
        </w:rPr>
        <w:t>，</w:t>
      </w:r>
      <w:r>
        <w:rPr>
          <w:rFonts w:hint="eastAsia" w:ascii="Times New Roman" w:hAnsi="Times New Roman" w:eastAsia="宋体" w:cs="Times New Roman"/>
          <w:szCs w:val="24"/>
        </w:rPr>
        <w:t>有助于为强化我市知识产权保护工作，建立健全便捷、公正、高效的知识产权纠纷人民调解机制，</w:t>
      </w:r>
      <w:r>
        <w:rPr>
          <w:rFonts w:hint="eastAsia" w:ascii="Times New Roman" w:hAnsi="Times New Roman" w:eastAsia="宋体" w:cs="Times New Roman"/>
          <w:bCs/>
          <w:szCs w:val="21"/>
        </w:rPr>
        <w:t>切实化解知识产权领域矛盾纠纷，</w:t>
      </w:r>
      <w:r>
        <w:rPr>
          <w:rFonts w:hint="eastAsia" w:ascii="Times New Roman" w:hAnsi="Times New Roman" w:eastAsia="宋体" w:cs="Times New Roman"/>
          <w:bCs/>
          <w:szCs w:val="21"/>
          <w:lang w:val="en-US" w:eastAsia="zh-CN"/>
        </w:rPr>
        <w:t>使</w:t>
      </w:r>
      <w:r>
        <w:rPr>
          <w:rFonts w:hint="eastAsia" w:ascii="Times New Roman" w:hAnsi="Times New Roman" w:eastAsia="宋体" w:cs="Times New Roman"/>
          <w:bCs/>
          <w:szCs w:val="21"/>
        </w:rPr>
        <w:t>知识产权纠纷人民调解工作得到规范、合法、合理、长足的发展。</w:t>
      </w:r>
    </w:p>
    <w:p w14:paraId="23000F65">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十、参考文献及其他需要说明的事项</w:t>
      </w:r>
    </w:p>
    <w:p w14:paraId="1843E18B">
      <w:pPr>
        <w:pStyle w:val="8"/>
        <w:spacing w:line="360" w:lineRule="auto"/>
        <w:ind w:firstLine="424" w:firstLineChars="202"/>
        <w:jc w:val="left"/>
        <w:rPr>
          <w:rFonts w:ascii="Times New Roman" w:hAnsi="Times New Roman" w:eastAsia="宋体" w:cs="Times New Roman"/>
          <w:color w:val="auto"/>
          <w:szCs w:val="24"/>
        </w:rPr>
      </w:pPr>
      <w:r>
        <w:rPr>
          <w:rFonts w:hint="eastAsia" w:ascii="宋体" w:hAnsi="宋体" w:cs="宋体"/>
          <w:color w:val="auto"/>
          <w:kern w:val="0"/>
          <w:szCs w:val="21"/>
          <w:lang w:val="en-US" w:eastAsia="zh-CN"/>
        </w:rPr>
        <w:t>无。</w:t>
      </w:r>
    </w:p>
    <w:p w14:paraId="4FF7006D">
      <w:pPr>
        <w:spacing w:line="360" w:lineRule="auto"/>
        <w:jc w:val="left"/>
        <w:rPr>
          <w:rFonts w:ascii="Times New Roman" w:hAnsi="Times New Roman" w:eastAsia="宋体" w:cs="Times New Roman"/>
          <w:szCs w:val="24"/>
        </w:rPr>
      </w:pPr>
    </w:p>
    <w:p w14:paraId="2711BDF2">
      <w:pPr>
        <w:pStyle w:val="8"/>
        <w:spacing w:line="360" w:lineRule="auto"/>
        <w:ind w:firstLine="424" w:firstLineChars="202"/>
        <w:jc w:val="right"/>
        <w:rPr>
          <w:rFonts w:ascii="Times New Roman" w:hAnsi="Times New Roman" w:eastAsia="宋体" w:cs="Times New Roman"/>
          <w:bCs/>
          <w:szCs w:val="21"/>
        </w:rPr>
      </w:pPr>
      <w:r>
        <w:rPr>
          <w:rFonts w:hint="eastAsia" w:ascii="Times New Roman" w:hAnsi="Times New Roman" w:eastAsia="黑体" w:cs="宋体"/>
          <w:kern w:val="0"/>
          <w:szCs w:val="21"/>
        </w:rPr>
        <w:t>《知识产权纠纷人民调解工作规范》标准起草小组</w:t>
      </w:r>
    </w:p>
    <w:sectPr>
      <w:pgSz w:w="11906" w:h="16838"/>
      <w:pgMar w:top="1440" w:right="1416" w:bottom="1440" w:left="156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E365D"/>
    <w:multiLevelType w:val="singleLevel"/>
    <w:tmpl w:val="857E365D"/>
    <w:lvl w:ilvl="0" w:tentative="0">
      <w:start w:val="3"/>
      <w:numFmt w:val="chineseCounting"/>
      <w:suff w:val="nothing"/>
      <w:lvlText w:val="%1、"/>
      <w:lvlJc w:val="left"/>
      <w:rPr>
        <w:rFonts w:hint="eastAsia"/>
      </w:rPr>
    </w:lvl>
  </w:abstractNum>
  <w:abstractNum w:abstractNumId="1">
    <w:nsid w:val="6C03DA28"/>
    <w:multiLevelType w:val="singleLevel"/>
    <w:tmpl w:val="6C03DA28"/>
    <w:lvl w:ilvl="0" w:tentative="0">
      <w:start w:val="1"/>
      <w:numFmt w:val="chineseCounting"/>
      <w:suff w:val="nothing"/>
      <w:lvlText w:val="（%1）"/>
      <w:lvlJc w:val="left"/>
      <w:rPr>
        <w:rFonts w:hint="eastAsia"/>
      </w:rPr>
    </w:lvl>
  </w:abstractNum>
  <w:abstractNum w:abstractNumId="2">
    <w:nsid w:val="6D8C39C0"/>
    <w:multiLevelType w:val="singleLevel"/>
    <w:tmpl w:val="6D8C39C0"/>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AC09A2"/>
    <w:rsid w:val="00000755"/>
    <w:rsid w:val="000018A4"/>
    <w:rsid w:val="00004CB4"/>
    <w:rsid w:val="00011455"/>
    <w:rsid w:val="000215CE"/>
    <w:rsid w:val="0005220D"/>
    <w:rsid w:val="0007425A"/>
    <w:rsid w:val="00074B0B"/>
    <w:rsid w:val="00075CD1"/>
    <w:rsid w:val="00077B23"/>
    <w:rsid w:val="000A186C"/>
    <w:rsid w:val="000A5643"/>
    <w:rsid w:val="000D02A2"/>
    <w:rsid w:val="001112C8"/>
    <w:rsid w:val="001217C0"/>
    <w:rsid w:val="001320FC"/>
    <w:rsid w:val="001349D0"/>
    <w:rsid w:val="00137177"/>
    <w:rsid w:val="0015453D"/>
    <w:rsid w:val="00162F84"/>
    <w:rsid w:val="001664CA"/>
    <w:rsid w:val="00172288"/>
    <w:rsid w:val="001767B2"/>
    <w:rsid w:val="0017795B"/>
    <w:rsid w:val="001806DC"/>
    <w:rsid w:val="00195ED5"/>
    <w:rsid w:val="001A0967"/>
    <w:rsid w:val="001A7B6A"/>
    <w:rsid w:val="001C1629"/>
    <w:rsid w:val="001C7F6D"/>
    <w:rsid w:val="001D07E4"/>
    <w:rsid w:val="001E7AEF"/>
    <w:rsid w:val="002263F3"/>
    <w:rsid w:val="002304CA"/>
    <w:rsid w:val="00245685"/>
    <w:rsid w:val="00255F9C"/>
    <w:rsid w:val="002B21B6"/>
    <w:rsid w:val="002B713D"/>
    <w:rsid w:val="002C0A25"/>
    <w:rsid w:val="002D1B32"/>
    <w:rsid w:val="002F2D38"/>
    <w:rsid w:val="00334F19"/>
    <w:rsid w:val="0033583E"/>
    <w:rsid w:val="0037050C"/>
    <w:rsid w:val="00382B3B"/>
    <w:rsid w:val="00390645"/>
    <w:rsid w:val="003A2E31"/>
    <w:rsid w:val="003B76A1"/>
    <w:rsid w:val="003F6928"/>
    <w:rsid w:val="0041106F"/>
    <w:rsid w:val="00411AE1"/>
    <w:rsid w:val="00417A91"/>
    <w:rsid w:val="00417F3F"/>
    <w:rsid w:val="004336FF"/>
    <w:rsid w:val="00455A0C"/>
    <w:rsid w:val="0047287B"/>
    <w:rsid w:val="004758FD"/>
    <w:rsid w:val="00482409"/>
    <w:rsid w:val="00491A4E"/>
    <w:rsid w:val="00497D97"/>
    <w:rsid w:val="004B7F95"/>
    <w:rsid w:val="004C488C"/>
    <w:rsid w:val="004D469C"/>
    <w:rsid w:val="004D64D3"/>
    <w:rsid w:val="004E28BC"/>
    <w:rsid w:val="004E2D36"/>
    <w:rsid w:val="004E37D6"/>
    <w:rsid w:val="004E7B78"/>
    <w:rsid w:val="00554DF3"/>
    <w:rsid w:val="005706AE"/>
    <w:rsid w:val="00593FC7"/>
    <w:rsid w:val="005A1696"/>
    <w:rsid w:val="005A67D2"/>
    <w:rsid w:val="005C6FCD"/>
    <w:rsid w:val="005D17C3"/>
    <w:rsid w:val="005E0757"/>
    <w:rsid w:val="005F6432"/>
    <w:rsid w:val="005F76DB"/>
    <w:rsid w:val="006031D1"/>
    <w:rsid w:val="0060579C"/>
    <w:rsid w:val="006245C0"/>
    <w:rsid w:val="006353CC"/>
    <w:rsid w:val="006359F8"/>
    <w:rsid w:val="00642B75"/>
    <w:rsid w:val="00644486"/>
    <w:rsid w:val="0067520F"/>
    <w:rsid w:val="006803F5"/>
    <w:rsid w:val="006837CA"/>
    <w:rsid w:val="00690F88"/>
    <w:rsid w:val="006A163D"/>
    <w:rsid w:val="006B1681"/>
    <w:rsid w:val="006C4ED3"/>
    <w:rsid w:val="006D1819"/>
    <w:rsid w:val="00702438"/>
    <w:rsid w:val="007037E0"/>
    <w:rsid w:val="00711F46"/>
    <w:rsid w:val="00712EBA"/>
    <w:rsid w:val="00735BB6"/>
    <w:rsid w:val="007554CA"/>
    <w:rsid w:val="00764AC8"/>
    <w:rsid w:val="007770D0"/>
    <w:rsid w:val="00782761"/>
    <w:rsid w:val="00794FE2"/>
    <w:rsid w:val="007B13D4"/>
    <w:rsid w:val="007C5155"/>
    <w:rsid w:val="007F592F"/>
    <w:rsid w:val="008047DC"/>
    <w:rsid w:val="00810000"/>
    <w:rsid w:val="00825994"/>
    <w:rsid w:val="0084682E"/>
    <w:rsid w:val="00865A0E"/>
    <w:rsid w:val="00872B11"/>
    <w:rsid w:val="0088069D"/>
    <w:rsid w:val="00897F2A"/>
    <w:rsid w:val="008C696B"/>
    <w:rsid w:val="008D0789"/>
    <w:rsid w:val="008E0EFE"/>
    <w:rsid w:val="008E1879"/>
    <w:rsid w:val="008F09D4"/>
    <w:rsid w:val="00920126"/>
    <w:rsid w:val="00923B3F"/>
    <w:rsid w:val="0094200F"/>
    <w:rsid w:val="009628EB"/>
    <w:rsid w:val="009633D8"/>
    <w:rsid w:val="00987D31"/>
    <w:rsid w:val="00990CB4"/>
    <w:rsid w:val="009A34F9"/>
    <w:rsid w:val="009D490F"/>
    <w:rsid w:val="009D761C"/>
    <w:rsid w:val="00A106A0"/>
    <w:rsid w:val="00A27C73"/>
    <w:rsid w:val="00A37D78"/>
    <w:rsid w:val="00A47F49"/>
    <w:rsid w:val="00A52BD0"/>
    <w:rsid w:val="00A6426D"/>
    <w:rsid w:val="00A64DCC"/>
    <w:rsid w:val="00A70BC9"/>
    <w:rsid w:val="00AB26DA"/>
    <w:rsid w:val="00AC09A2"/>
    <w:rsid w:val="00AC5F62"/>
    <w:rsid w:val="00AD09E0"/>
    <w:rsid w:val="00AD1451"/>
    <w:rsid w:val="00AD64E0"/>
    <w:rsid w:val="00B05768"/>
    <w:rsid w:val="00B21191"/>
    <w:rsid w:val="00B215E3"/>
    <w:rsid w:val="00B3242C"/>
    <w:rsid w:val="00B41712"/>
    <w:rsid w:val="00B442EB"/>
    <w:rsid w:val="00B54D3D"/>
    <w:rsid w:val="00B578DC"/>
    <w:rsid w:val="00B57A8D"/>
    <w:rsid w:val="00B63190"/>
    <w:rsid w:val="00B6345C"/>
    <w:rsid w:val="00B73F8A"/>
    <w:rsid w:val="00B75E2E"/>
    <w:rsid w:val="00BA3A7C"/>
    <w:rsid w:val="00BA5E03"/>
    <w:rsid w:val="00BB2195"/>
    <w:rsid w:val="00BB3D75"/>
    <w:rsid w:val="00BB4CD2"/>
    <w:rsid w:val="00BC6067"/>
    <w:rsid w:val="00C15357"/>
    <w:rsid w:val="00C170C3"/>
    <w:rsid w:val="00C32531"/>
    <w:rsid w:val="00C60608"/>
    <w:rsid w:val="00C60899"/>
    <w:rsid w:val="00C77203"/>
    <w:rsid w:val="00C8330E"/>
    <w:rsid w:val="00C935AF"/>
    <w:rsid w:val="00CB6D30"/>
    <w:rsid w:val="00CE2426"/>
    <w:rsid w:val="00CE2919"/>
    <w:rsid w:val="00CF7D6F"/>
    <w:rsid w:val="00D03836"/>
    <w:rsid w:val="00D06A43"/>
    <w:rsid w:val="00D11B1C"/>
    <w:rsid w:val="00D14D1B"/>
    <w:rsid w:val="00D522BE"/>
    <w:rsid w:val="00D6459A"/>
    <w:rsid w:val="00D65695"/>
    <w:rsid w:val="00D73446"/>
    <w:rsid w:val="00D771D0"/>
    <w:rsid w:val="00DB4FD0"/>
    <w:rsid w:val="00DC1BE3"/>
    <w:rsid w:val="00DC62FE"/>
    <w:rsid w:val="00E15AE4"/>
    <w:rsid w:val="00E22F40"/>
    <w:rsid w:val="00E30775"/>
    <w:rsid w:val="00E87BD1"/>
    <w:rsid w:val="00E9064C"/>
    <w:rsid w:val="00E953C7"/>
    <w:rsid w:val="00EA59E1"/>
    <w:rsid w:val="00EC20FC"/>
    <w:rsid w:val="00EE594F"/>
    <w:rsid w:val="00EF43B6"/>
    <w:rsid w:val="00EF7C5D"/>
    <w:rsid w:val="00F1349A"/>
    <w:rsid w:val="00F15F00"/>
    <w:rsid w:val="00F1711B"/>
    <w:rsid w:val="00F239F7"/>
    <w:rsid w:val="00F36002"/>
    <w:rsid w:val="00F4083B"/>
    <w:rsid w:val="00F43C3A"/>
    <w:rsid w:val="00F84011"/>
    <w:rsid w:val="00F940BE"/>
    <w:rsid w:val="00FE66B5"/>
    <w:rsid w:val="01434458"/>
    <w:rsid w:val="0882554E"/>
    <w:rsid w:val="0AA17EBB"/>
    <w:rsid w:val="11690013"/>
    <w:rsid w:val="12131ED0"/>
    <w:rsid w:val="122A7A94"/>
    <w:rsid w:val="14961066"/>
    <w:rsid w:val="16522A45"/>
    <w:rsid w:val="16DB3947"/>
    <w:rsid w:val="19CD5351"/>
    <w:rsid w:val="1A934351"/>
    <w:rsid w:val="1B963FE1"/>
    <w:rsid w:val="1BAB1C72"/>
    <w:rsid w:val="1D0453DE"/>
    <w:rsid w:val="1DCB1141"/>
    <w:rsid w:val="257B4842"/>
    <w:rsid w:val="2C6320B0"/>
    <w:rsid w:val="2CF240FF"/>
    <w:rsid w:val="2FC877FF"/>
    <w:rsid w:val="3370443C"/>
    <w:rsid w:val="388D4F73"/>
    <w:rsid w:val="3A9B289B"/>
    <w:rsid w:val="3C4577E6"/>
    <w:rsid w:val="4129315B"/>
    <w:rsid w:val="418A269C"/>
    <w:rsid w:val="44AE70D3"/>
    <w:rsid w:val="4889524E"/>
    <w:rsid w:val="4B6C1952"/>
    <w:rsid w:val="4BAF3DA1"/>
    <w:rsid w:val="4CF8221E"/>
    <w:rsid w:val="4D281D65"/>
    <w:rsid w:val="518C55A4"/>
    <w:rsid w:val="56EA18C1"/>
    <w:rsid w:val="5C6309FA"/>
    <w:rsid w:val="68896A8E"/>
    <w:rsid w:val="6A575068"/>
    <w:rsid w:val="6B4849B1"/>
    <w:rsid w:val="6B84588A"/>
    <w:rsid w:val="6D23273E"/>
    <w:rsid w:val="782402E3"/>
    <w:rsid w:val="7C2C702E"/>
    <w:rsid w:val="7D581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9"/>
    <w:autoRedefine/>
    <w:semiHidden/>
    <w:unhideWhenUsed/>
    <w:qFormat/>
    <w:uiPriority w:val="99"/>
    <w:pPr>
      <w:spacing w:after="120"/>
    </w:pPr>
  </w:style>
  <w:style w:type="paragraph" w:styleId="3">
    <w:name w:val="footer"/>
    <w:basedOn w:val="1"/>
    <w:link w:val="11"/>
    <w:autoRedefine/>
    <w:unhideWhenUsed/>
    <w:qFormat/>
    <w:uiPriority w:val="99"/>
    <w:pPr>
      <w:tabs>
        <w:tab w:val="center" w:pos="4153"/>
        <w:tab w:val="right" w:pos="8306"/>
      </w:tabs>
      <w:snapToGrid w:val="0"/>
      <w:jc w:val="left"/>
    </w:pPr>
    <w:rPr>
      <w:sz w:val="18"/>
      <w:szCs w:val="18"/>
    </w:rPr>
  </w:style>
  <w:style w:type="paragraph" w:styleId="4">
    <w:name w:val="header"/>
    <w:basedOn w:val="1"/>
    <w:link w:val="10"/>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autoRedefine/>
    <w:qFormat/>
    <w:uiPriority w:val="34"/>
    <w:pPr>
      <w:ind w:firstLine="420" w:firstLineChars="200"/>
    </w:pPr>
  </w:style>
  <w:style w:type="character" w:customStyle="1" w:styleId="9">
    <w:name w:val="正文文本 Char"/>
    <w:basedOn w:val="7"/>
    <w:link w:val="2"/>
    <w:autoRedefine/>
    <w:semiHidden/>
    <w:qFormat/>
    <w:uiPriority w:val="99"/>
  </w:style>
  <w:style w:type="character" w:customStyle="1" w:styleId="10">
    <w:name w:val="页眉 Char"/>
    <w:basedOn w:val="7"/>
    <w:link w:val="4"/>
    <w:autoRedefine/>
    <w:qFormat/>
    <w:uiPriority w:val="99"/>
    <w:rPr>
      <w:sz w:val="18"/>
      <w:szCs w:val="18"/>
    </w:rPr>
  </w:style>
  <w:style w:type="character" w:customStyle="1" w:styleId="11">
    <w:name w:val="页脚 Char"/>
    <w:basedOn w:val="7"/>
    <w:link w:val="3"/>
    <w:autoRedefine/>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6</Pages>
  <Words>4870</Words>
  <Characters>5107</Characters>
  <Lines>43</Lines>
  <Paragraphs>12</Paragraphs>
  <TotalTime>0</TotalTime>
  <ScaleCrop>false</ScaleCrop>
  <LinksUpToDate>false</LinksUpToDate>
  <CharactersWithSpaces>5152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2023-03-28T05:18:00Z</dcterms:created>
  <dc:creator>微软用户</dc:creator>
  <cp:lastModifiedBy>d</cp:lastModifiedBy>
  <dcterms:modified xsi:type="dcterms:W3CDTF">2024-08-16T10:10:52Z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A8C637CA7426466DAA13FECE1D484402_13</vt:lpwstr>
  </property>
</Properties>
</file>