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202</w:t>
      </w:r>
      <w:r>
        <w:rPr>
          <w:rFonts w:hint="eastAsia" w:eastAsia="方正小标宋简体" w:cs="方正仿宋简体"/>
          <w:color w:val="000000"/>
          <w:sz w:val="32"/>
          <w:szCs w:val="32"/>
          <w:lang w:val="en-US" w:eastAsia="zh-CN"/>
        </w:rPr>
        <w:t>3</w:t>
      </w:r>
      <w:r>
        <w:rPr>
          <w:rFonts w:hint="eastAsia" w:eastAsia="方正小标宋简体" w:cs="方正仿宋简体"/>
          <w:color w:val="000000"/>
          <w:sz w:val="32"/>
          <w:szCs w:val="32"/>
        </w:rPr>
        <w:t>年长春市</w:t>
      </w:r>
      <w:r>
        <w:rPr>
          <w:rFonts w:hint="eastAsia" w:eastAsia="方正小标宋简体" w:cs="方正仿宋简体"/>
          <w:color w:val="000000"/>
          <w:sz w:val="32"/>
          <w:szCs w:val="32"/>
          <w:lang w:eastAsia="zh-CN"/>
        </w:rPr>
        <w:t>热水器</w:t>
      </w:r>
      <w:r>
        <w:rPr>
          <w:rFonts w:eastAsia="方正小标宋简体" w:cs="方正仿宋简体"/>
          <w:color w:val="000000"/>
          <w:sz w:val="32"/>
          <w:szCs w:val="32"/>
        </w:rPr>
        <w:t>产品质量监督抽查实施细则</w:t>
      </w:r>
    </w:p>
    <w:p>
      <w:pPr>
        <w:adjustRightInd w:val="0"/>
        <w:snapToGrid w:val="0"/>
        <w:spacing w:line="594" w:lineRule="exact"/>
        <w:jc w:val="center"/>
        <w:rPr>
          <w:rFonts w:eastAsia="方正小标宋简体" w:cs="方正仿宋简体"/>
          <w:color w:val="000000"/>
          <w:sz w:val="32"/>
          <w:szCs w:val="32"/>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rPr>
        <w:t>2</w:t>
      </w:r>
      <w:r>
        <w:rPr>
          <w:color w:val="000000"/>
          <w:szCs w:val="21"/>
        </w:rPr>
        <w:t>台，其中</w:t>
      </w:r>
      <w:r>
        <w:rPr>
          <w:rFonts w:hint="eastAsia"/>
          <w:color w:val="000000"/>
          <w:szCs w:val="21"/>
        </w:rPr>
        <w:t>1</w:t>
      </w:r>
      <w:r>
        <w:rPr>
          <w:color w:val="000000"/>
          <w:szCs w:val="21"/>
        </w:rPr>
        <w:t>台作为检验样品，1台作为备用样</w:t>
      </w:r>
      <w:bookmarkStart w:id="0" w:name="_GoBack"/>
      <w:bookmarkEnd w:id="0"/>
      <w:r>
        <w:rPr>
          <w:color w:val="000000"/>
          <w:szCs w:val="21"/>
        </w:rPr>
        <w:t>品。</w:t>
      </w:r>
    </w:p>
    <w:p>
      <w:pPr>
        <w:snapToGrid w:val="0"/>
        <w:spacing w:line="440" w:lineRule="exact"/>
        <w:ind w:firstLine="420" w:firstLineChars="200"/>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eastAsia="黑体"/>
          <w:color w:val="000000"/>
          <w:szCs w:val="21"/>
        </w:rPr>
      </w:pP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4524"/>
        <w:gridCol w:w="3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7" w:type="pct"/>
            <w:noWrap w:val="0"/>
            <w:vAlign w:val="top"/>
          </w:tcPr>
          <w:p>
            <w:pPr>
              <w:snapToGrid w:val="0"/>
              <w:spacing w:line="440" w:lineRule="exact"/>
              <w:jc w:val="center"/>
              <w:rPr>
                <w:color w:val="000000"/>
                <w:szCs w:val="21"/>
              </w:rPr>
            </w:pPr>
            <w:r>
              <w:rPr>
                <w:color w:val="000000"/>
                <w:szCs w:val="21"/>
              </w:rPr>
              <w:t>序号</w:t>
            </w:r>
          </w:p>
        </w:tc>
        <w:tc>
          <w:tcPr>
            <w:tcW w:w="2467" w:type="pct"/>
            <w:noWrap w:val="0"/>
            <w:vAlign w:val="top"/>
          </w:tcPr>
          <w:p>
            <w:pPr>
              <w:snapToGrid w:val="0"/>
              <w:spacing w:line="440" w:lineRule="exact"/>
              <w:jc w:val="center"/>
              <w:rPr>
                <w:color w:val="000000"/>
                <w:szCs w:val="21"/>
              </w:rPr>
            </w:pPr>
            <w:r>
              <w:rPr>
                <w:color w:val="000000"/>
                <w:szCs w:val="21"/>
              </w:rPr>
              <w:t>检验项目</w:t>
            </w:r>
          </w:p>
        </w:tc>
        <w:tc>
          <w:tcPr>
            <w:tcW w:w="1945"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1</w:t>
            </w:r>
          </w:p>
        </w:tc>
        <w:tc>
          <w:tcPr>
            <w:tcW w:w="2467" w:type="pct"/>
            <w:noWrap w:val="0"/>
            <w:vAlign w:val="center"/>
          </w:tcPr>
          <w:p>
            <w:pPr>
              <w:snapToGrid w:val="0"/>
              <w:jc w:val="center"/>
              <w:rPr>
                <w:szCs w:val="21"/>
              </w:rPr>
            </w:pPr>
            <w:r>
              <w:rPr>
                <w:rFonts w:hint="default"/>
                <w:szCs w:val="21"/>
              </w:rPr>
              <w:t>标志和说明</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2</w:t>
            </w:r>
          </w:p>
        </w:tc>
        <w:tc>
          <w:tcPr>
            <w:tcW w:w="2467" w:type="pct"/>
            <w:noWrap w:val="0"/>
            <w:vAlign w:val="center"/>
          </w:tcPr>
          <w:p>
            <w:pPr>
              <w:snapToGrid w:val="0"/>
              <w:jc w:val="center"/>
              <w:rPr>
                <w:szCs w:val="21"/>
              </w:rPr>
            </w:pPr>
            <w:r>
              <w:rPr>
                <w:rFonts w:hint="default"/>
                <w:szCs w:val="21"/>
              </w:rPr>
              <w:t>对触及带电部件的防护</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3</w:t>
            </w:r>
          </w:p>
        </w:tc>
        <w:tc>
          <w:tcPr>
            <w:tcW w:w="2467" w:type="pct"/>
            <w:noWrap w:val="0"/>
            <w:vAlign w:val="center"/>
          </w:tcPr>
          <w:p>
            <w:pPr>
              <w:snapToGrid w:val="0"/>
              <w:jc w:val="center"/>
              <w:rPr>
                <w:rFonts w:hint="eastAsia"/>
                <w:szCs w:val="21"/>
                <w:lang w:val="en-US" w:eastAsia="zh-CN"/>
              </w:rPr>
            </w:pPr>
            <w:r>
              <w:rPr>
                <w:rFonts w:hint="default"/>
                <w:szCs w:val="21"/>
              </w:rPr>
              <w:t>输入功率和电流</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4</w:t>
            </w:r>
          </w:p>
        </w:tc>
        <w:tc>
          <w:tcPr>
            <w:tcW w:w="2467" w:type="pct"/>
            <w:noWrap w:val="0"/>
            <w:vAlign w:val="center"/>
          </w:tcPr>
          <w:p>
            <w:pPr>
              <w:snapToGrid w:val="0"/>
              <w:jc w:val="center"/>
              <w:rPr>
                <w:szCs w:val="21"/>
              </w:rPr>
            </w:pPr>
            <w:r>
              <w:rPr>
                <w:rFonts w:hint="default"/>
                <w:szCs w:val="21"/>
              </w:rPr>
              <w:t>工作温度下的泄漏电流和电气强度</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587" w:type="pct"/>
            <w:noWrap w:val="0"/>
            <w:vAlign w:val="top"/>
          </w:tcPr>
          <w:p>
            <w:pPr>
              <w:snapToGrid w:val="0"/>
              <w:jc w:val="center"/>
              <w:rPr>
                <w:color w:val="000000"/>
                <w:szCs w:val="21"/>
              </w:rPr>
            </w:pPr>
            <w:r>
              <w:rPr>
                <w:color w:val="000000"/>
                <w:szCs w:val="21"/>
              </w:rPr>
              <w:t>5</w:t>
            </w:r>
          </w:p>
        </w:tc>
        <w:tc>
          <w:tcPr>
            <w:tcW w:w="2467" w:type="pct"/>
            <w:noWrap w:val="0"/>
            <w:vAlign w:val="center"/>
          </w:tcPr>
          <w:p>
            <w:pPr>
              <w:snapToGrid w:val="0"/>
              <w:jc w:val="center"/>
              <w:rPr>
                <w:szCs w:val="21"/>
              </w:rPr>
            </w:pPr>
            <w:r>
              <w:rPr>
                <w:rFonts w:hint="default"/>
                <w:szCs w:val="21"/>
              </w:rPr>
              <w:t>机械强度</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color w:val="000000"/>
                <w:szCs w:val="21"/>
              </w:rPr>
            </w:pPr>
            <w:r>
              <w:rPr>
                <w:color w:val="000000"/>
                <w:szCs w:val="21"/>
              </w:rPr>
              <w:t>6</w:t>
            </w:r>
          </w:p>
        </w:tc>
        <w:tc>
          <w:tcPr>
            <w:tcW w:w="2467" w:type="pct"/>
            <w:noWrap w:val="0"/>
            <w:vAlign w:val="center"/>
          </w:tcPr>
          <w:p>
            <w:pPr>
              <w:snapToGrid w:val="0"/>
              <w:jc w:val="center"/>
              <w:rPr>
                <w:szCs w:val="21"/>
              </w:rPr>
            </w:pPr>
            <w:r>
              <w:rPr>
                <w:rFonts w:hint="default"/>
                <w:szCs w:val="21"/>
              </w:rPr>
              <w:t>结构</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587" w:type="pct"/>
            <w:noWrap w:val="0"/>
            <w:vAlign w:val="top"/>
          </w:tcPr>
          <w:p>
            <w:pPr>
              <w:snapToGrid w:val="0"/>
              <w:jc w:val="center"/>
              <w:rPr>
                <w:color w:val="000000"/>
                <w:szCs w:val="21"/>
              </w:rPr>
            </w:pPr>
            <w:r>
              <w:rPr>
                <w:color w:val="000000"/>
                <w:szCs w:val="21"/>
              </w:rPr>
              <w:t>7</w:t>
            </w:r>
          </w:p>
        </w:tc>
        <w:tc>
          <w:tcPr>
            <w:tcW w:w="2467" w:type="pct"/>
            <w:noWrap w:val="0"/>
            <w:vAlign w:val="center"/>
          </w:tcPr>
          <w:p>
            <w:pPr>
              <w:snapToGrid w:val="0"/>
              <w:jc w:val="center"/>
              <w:rPr>
                <w:szCs w:val="21"/>
              </w:rPr>
            </w:pPr>
            <w:r>
              <w:rPr>
                <w:rFonts w:hint="default"/>
                <w:szCs w:val="21"/>
              </w:rPr>
              <w:t>内部布线</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rFonts w:hint="eastAsia" w:eastAsia="宋体"/>
                <w:color w:val="000000"/>
                <w:szCs w:val="21"/>
                <w:lang w:eastAsia="zh-CN"/>
              </w:rPr>
            </w:pPr>
            <w:r>
              <w:rPr>
                <w:rFonts w:hint="eastAsia"/>
                <w:color w:val="000000"/>
                <w:szCs w:val="21"/>
                <w:lang w:val="en-US" w:eastAsia="zh-CN"/>
              </w:rPr>
              <w:t>8</w:t>
            </w:r>
          </w:p>
        </w:tc>
        <w:tc>
          <w:tcPr>
            <w:tcW w:w="2467" w:type="pct"/>
            <w:noWrap w:val="0"/>
            <w:vAlign w:val="center"/>
          </w:tcPr>
          <w:p>
            <w:pPr>
              <w:snapToGrid w:val="0"/>
              <w:jc w:val="center"/>
              <w:rPr>
                <w:rFonts w:hint="eastAsia"/>
                <w:szCs w:val="21"/>
                <w:lang w:eastAsia="zh-CN"/>
              </w:rPr>
            </w:pPr>
            <w:r>
              <w:rPr>
                <w:rFonts w:hint="default"/>
                <w:szCs w:val="21"/>
              </w:rPr>
              <w:t>电源连接和外部软线</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rFonts w:hint="eastAsia" w:eastAsia="宋体"/>
                <w:color w:val="000000"/>
                <w:szCs w:val="21"/>
                <w:lang w:eastAsia="zh-CN"/>
              </w:rPr>
            </w:pPr>
            <w:r>
              <w:rPr>
                <w:rFonts w:hint="eastAsia"/>
                <w:color w:val="000000"/>
                <w:szCs w:val="21"/>
                <w:lang w:val="en-US" w:eastAsia="zh-CN"/>
              </w:rPr>
              <w:t>9</w:t>
            </w:r>
          </w:p>
        </w:tc>
        <w:tc>
          <w:tcPr>
            <w:tcW w:w="2467" w:type="pct"/>
            <w:noWrap w:val="0"/>
            <w:vAlign w:val="center"/>
          </w:tcPr>
          <w:p>
            <w:pPr>
              <w:snapToGrid w:val="0"/>
              <w:jc w:val="center"/>
              <w:rPr>
                <w:rFonts w:hint="eastAsia"/>
                <w:szCs w:val="21"/>
                <w:lang w:eastAsia="zh-CN"/>
              </w:rPr>
            </w:pPr>
            <w:r>
              <w:rPr>
                <w:rFonts w:hint="default"/>
                <w:szCs w:val="21"/>
              </w:rPr>
              <w:t>接地措施</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noWrap w:val="0"/>
            <w:vAlign w:val="top"/>
          </w:tcPr>
          <w:p>
            <w:pPr>
              <w:snapToGrid w:val="0"/>
              <w:jc w:val="center"/>
              <w:rPr>
                <w:rFonts w:hint="default" w:eastAsia="宋体"/>
                <w:color w:val="000000"/>
                <w:szCs w:val="21"/>
                <w:lang w:val="en-US" w:eastAsia="zh-CN"/>
              </w:rPr>
            </w:pPr>
            <w:r>
              <w:rPr>
                <w:rFonts w:hint="eastAsia"/>
                <w:color w:val="000000"/>
                <w:szCs w:val="21"/>
                <w:lang w:val="en-US" w:eastAsia="zh-CN"/>
              </w:rPr>
              <w:t>10</w:t>
            </w:r>
          </w:p>
        </w:tc>
        <w:tc>
          <w:tcPr>
            <w:tcW w:w="2467" w:type="pct"/>
            <w:noWrap w:val="0"/>
            <w:vAlign w:val="center"/>
          </w:tcPr>
          <w:p>
            <w:pPr>
              <w:snapToGrid w:val="0"/>
              <w:jc w:val="center"/>
              <w:rPr>
                <w:rFonts w:hint="eastAsia"/>
                <w:szCs w:val="21"/>
                <w:lang w:eastAsia="zh-CN"/>
              </w:rPr>
            </w:pPr>
            <w:r>
              <w:rPr>
                <w:rFonts w:hint="default"/>
                <w:szCs w:val="21"/>
              </w:rPr>
              <w:t>螺钉和连接</w:t>
            </w:r>
          </w:p>
        </w:tc>
        <w:tc>
          <w:tcPr>
            <w:tcW w:w="1945" w:type="pct"/>
            <w:noWrap w:val="0"/>
            <w:vAlign w:val="center"/>
          </w:tcPr>
          <w:p>
            <w:pPr>
              <w:snapToGrid w:val="0"/>
              <w:jc w:val="center"/>
            </w:pPr>
            <w:r>
              <w:rPr>
                <w:rStyle w:val="8"/>
                <w:rFonts w:hint="default"/>
                <w:color w:val="auto"/>
                <w:lang w:bidi="ar"/>
              </w:rPr>
              <w:t>GB4706.1-2005、GB4706.12-2006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noWrap w:val="0"/>
            <w:vAlign w:val="top"/>
          </w:tcPr>
          <w:p>
            <w:pPr>
              <w:snapToGrid w:val="0"/>
              <w:rPr>
                <w:szCs w:val="21"/>
              </w:rPr>
            </w:pPr>
            <w:r>
              <w:rPr>
                <w:rFonts w:hint="eastAsia"/>
                <w:szCs w:val="21"/>
              </w:rPr>
              <w:t>备</w:t>
            </w:r>
            <w:r>
              <w:rPr>
                <w:szCs w:val="21"/>
              </w:rPr>
              <w:t>注：检验项目针对标准中强制性条文要求。</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40" w:firstLineChars="200"/>
        <w:rPr>
          <w:rStyle w:val="8"/>
          <w:rFonts w:hint="default"/>
          <w:color w:val="auto"/>
          <w:lang w:bidi="ar"/>
        </w:rPr>
      </w:pPr>
      <w:r>
        <w:rPr>
          <w:rStyle w:val="8"/>
          <w:rFonts w:hint="default"/>
          <w:color w:val="auto"/>
          <w:lang w:bidi="ar"/>
        </w:rPr>
        <w:t>GB4706.1-2005</w:t>
      </w:r>
      <w:r>
        <w:rPr>
          <w:rStyle w:val="8"/>
          <w:rFonts w:hint="eastAsia"/>
          <w:color w:val="auto"/>
          <w:lang w:eastAsia="zh-CN" w:bidi="ar"/>
        </w:rPr>
        <w:t>《</w:t>
      </w:r>
      <w:r>
        <w:rPr>
          <w:rStyle w:val="8"/>
          <w:rFonts w:hint="eastAsia"/>
          <w:color w:val="auto"/>
          <w:lang w:bidi="ar"/>
        </w:rPr>
        <w:t>家用和类似用途电器的安全 第1部分</w:t>
      </w:r>
      <w:r>
        <w:rPr>
          <w:rStyle w:val="8"/>
          <w:rFonts w:hint="eastAsia"/>
          <w:color w:val="auto"/>
          <w:lang w:eastAsia="zh-CN" w:bidi="ar"/>
        </w:rPr>
        <w:t>：</w:t>
      </w:r>
      <w:r>
        <w:rPr>
          <w:rStyle w:val="8"/>
          <w:rFonts w:hint="eastAsia"/>
          <w:color w:val="auto"/>
          <w:lang w:bidi="ar"/>
        </w:rPr>
        <w:t>通用要求</w:t>
      </w:r>
      <w:r>
        <w:rPr>
          <w:rStyle w:val="8"/>
          <w:rFonts w:hint="eastAsia"/>
          <w:color w:val="auto"/>
          <w:lang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right="0" w:firstLine="440" w:firstLineChars="200"/>
        <w:rPr>
          <w:rStyle w:val="8"/>
          <w:rFonts w:hint="default"/>
          <w:b w:val="0"/>
          <w:bCs w:val="0"/>
          <w:color w:val="auto"/>
          <w:kern w:val="2"/>
          <w:lang w:val="en-US" w:eastAsia="zh-CN" w:bidi="ar"/>
        </w:rPr>
      </w:pPr>
      <w:r>
        <w:rPr>
          <w:rStyle w:val="8"/>
          <w:rFonts w:hint="default"/>
          <w:b w:val="0"/>
          <w:bCs w:val="0"/>
          <w:color w:val="auto"/>
          <w:kern w:val="2"/>
          <w:lang w:val="en-US" w:eastAsia="zh-CN" w:bidi="ar"/>
        </w:rPr>
        <w:t>GB4706.</w:t>
      </w:r>
      <w:r>
        <w:rPr>
          <w:rStyle w:val="8"/>
          <w:rFonts w:hint="eastAsia"/>
          <w:b w:val="0"/>
          <w:bCs w:val="0"/>
          <w:color w:val="auto"/>
          <w:kern w:val="2"/>
          <w:lang w:val="en-US" w:eastAsia="zh-CN" w:bidi="ar"/>
        </w:rPr>
        <w:t>12</w:t>
      </w:r>
      <w:r>
        <w:rPr>
          <w:rStyle w:val="8"/>
          <w:rFonts w:hint="default"/>
          <w:b w:val="0"/>
          <w:bCs w:val="0"/>
          <w:color w:val="auto"/>
          <w:kern w:val="2"/>
          <w:lang w:val="en-US" w:eastAsia="zh-CN" w:bidi="ar"/>
        </w:rPr>
        <w:t>-200</w:t>
      </w:r>
      <w:r>
        <w:rPr>
          <w:rStyle w:val="8"/>
          <w:rFonts w:hint="eastAsia"/>
          <w:b w:val="0"/>
          <w:bCs w:val="0"/>
          <w:color w:val="auto"/>
          <w:kern w:val="2"/>
          <w:lang w:val="en-US" w:eastAsia="zh-CN" w:bidi="ar"/>
        </w:rPr>
        <w:t>6《</w:t>
      </w:r>
      <w:r>
        <w:rPr>
          <w:rStyle w:val="8"/>
          <w:rFonts w:hint="default"/>
          <w:b w:val="0"/>
          <w:bCs w:val="0"/>
          <w:color w:val="auto"/>
          <w:kern w:val="2"/>
          <w:lang w:val="en-US" w:eastAsia="zh-CN" w:bidi="ar"/>
        </w:rPr>
        <w:t>家用和类似用途电器的安全</w:t>
      </w:r>
      <w:r>
        <w:rPr>
          <w:rStyle w:val="8"/>
          <w:rFonts w:hint="eastAsia"/>
          <w:b w:val="0"/>
          <w:bCs w:val="0"/>
          <w:color w:val="auto"/>
          <w:kern w:val="2"/>
          <w:lang w:val="en-US" w:eastAsia="zh-CN" w:bidi="ar"/>
        </w:rPr>
        <w:t xml:space="preserve"> </w:t>
      </w:r>
      <w:r>
        <w:rPr>
          <w:rStyle w:val="8"/>
          <w:rFonts w:hint="default"/>
          <w:b w:val="0"/>
          <w:bCs w:val="0"/>
          <w:color w:val="auto"/>
          <w:kern w:val="2"/>
          <w:lang w:val="en-US" w:eastAsia="zh-CN" w:bidi="ar"/>
        </w:rPr>
        <w:t>储水式热水器的特殊要求</w:t>
      </w:r>
      <w:r>
        <w:rPr>
          <w:rStyle w:val="8"/>
          <w:rFonts w:hint="eastAsia"/>
          <w:b w:val="0"/>
          <w:bCs w:val="0"/>
          <w:color w:val="auto"/>
          <w:kern w:val="2"/>
          <w:lang w:val="en-US" w:eastAsia="zh-CN" w:bidi="ar"/>
        </w:rPr>
        <w:t>》</w:t>
      </w:r>
    </w:p>
    <w:p>
      <w:pPr>
        <w:snapToGrid w:val="0"/>
        <w:spacing w:line="440" w:lineRule="exact"/>
        <w:ind w:firstLine="420" w:firstLineChars="200"/>
        <w:rPr>
          <w:rFonts w:hint="eastAsia"/>
          <w:color w:val="000000"/>
          <w:szCs w:val="21"/>
        </w:rPr>
      </w:pPr>
      <w:r>
        <w:rPr>
          <w:color w:val="000000"/>
          <w:szCs w:val="21"/>
        </w:rPr>
        <w:t>现行有效的企业标准、团体标准、地方标准及产品明示质量要求</w:t>
      </w:r>
    </w:p>
    <w:p>
      <w:pPr>
        <w:snapToGrid w:val="0"/>
        <w:spacing w:line="440" w:lineRule="exact"/>
        <w:ind w:firstLine="420" w:firstLineChars="200"/>
        <w:rPr>
          <w:color w:val="000000"/>
          <w:szCs w:val="21"/>
        </w:rPr>
      </w:pPr>
    </w:p>
    <w:p>
      <w:pPr>
        <w:snapToGrid w:val="0"/>
        <w:spacing w:line="440" w:lineRule="exact"/>
        <w:rPr>
          <w:color w:val="000000"/>
          <w:szCs w:val="21"/>
        </w:rPr>
      </w:pPr>
      <w:r>
        <w:rPr>
          <w:color w:val="000000"/>
          <w:szCs w:val="21"/>
        </w:rPr>
        <w:t>3.2判定原则</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ascii="仿宋" w:hAnsi="仿宋" w:eastAsia="仿宋" w:cs="仿宋"/>
          <w:sz w:val="28"/>
          <w:szCs w:val="28"/>
        </w:rPr>
      </w:pPr>
      <w:r>
        <w:rPr>
          <w:rFonts w:hint="eastAsia" w:ascii="宋体" w:hAnsi="宋体" w:eastAsia="宋体" w:cs="宋体"/>
          <w:color w:val="000000"/>
          <w:sz w:val="21"/>
          <w:szCs w:val="21"/>
        </w:rPr>
        <w:t>若被检产品明示的质量要求缺少本细则中检验项目依据的推荐性标准要求时，该项目不参与判定。</w:t>
      </w:r>
    </w:p>
    <w:p/>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MmUzNjZiNThiMjgxZWNjMzQzMGQ4MzE4MjJlNmEifQ=="/>
  </w:docVars>
  <w:rsids>
    <w:rsidRoot w:val="00000000"/>
    <w:rsid w:val="0F1916DB"/>
    <w:rsid w:val="4A6A5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font2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1011</Characters>
  <Lines>0</Lines>
  <Paragraphs>0</Paragraphs>
  <TotalTime>8</TotalTime>
  <ScaleCrop>false</ScaleCrop>
  <LinksUpToDate>false</LinksUpToDate>
  <CharactersWithSpaces>1016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2023-11-02T03:02:00Z</dcterms:created>
  <dc:creator>Administrator</dc:creator>
  <cp:lastModifiedBy>Administrator</cp:lastModifiedBy>
  <dcterms:modified xsi:type="dcterms:W3CDTF">2023-11-02T03:20:55Z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CBB885E318EA42A68F888007966B5191_12</vt:lpwstr>
  </property>
</Properties>
</file>