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hint="eastAsia" w:ascii="仿宋" w:hAnsi="仿宋" w:eastAsia="仿宋" w:cs="仿宋"/>
          <w:b/>
          <w:bCs/>
          <w:color w:val="000000"/>
          <w:sz w:val="32"/>
          <w:szCs w:val="32"/>
        </w:rPr>
      </w:pPr>
      <w:r>
        <w:rPr>
          <w:rFonts w:hint="eastAsia" w:ascii="仿宋" w:hAnsi="仿宋" w:eastAsia="仿宋" w:cs="仿宋"/>
          <w:b/>
          <w:bCs/>
          <w:color w:val="000000"/>
          <w:sz w:val="32"/>
          <w:szCs w:val="32"/>
        </w:rPr>
        <w:t>长春市2023年建筑用金属面绝热夹芯板</w:t>
      </w:r>
    </w:p>
    <w:p>
      <w:pPr>
        <w:snapToGrid w:val="0"/>
        <w:spacing w:line="360" w:lineRule="auto"/>
        <w:jc w:val="center"/>
        <w:rPr>
          <w:rFonts w:ascii="仿宋" w:hAnsi="仿宋" w:eastAsia="仿宋" w:cs="仿宋"/>
          <w:b/>
          <w:bCs/>
          <w:color w:val="000000"/>
          <w:sz w:val="32"/>
          <w:szCs w:val="32"/>
        </w:rPr>
      </w:pPr>
      <w:r>
        <w:rPr>
          <w:rFonts w:hint="eastAsia" w:ascii="仿宋" w:hAnsi="仿宋" w:eastAsia="仿宋" w:cs="仿宋"/>
          <w:b/>
          <w:bCs/>
          <w:color w:val="000000"/>
          <w:sz w:val="32"/>
          <w:szCs w:val="32"/>
        </w:rPr>
        <w:t>产品质量监督抽查实施细则</w:t>
      </w:r>
    </w:p>
    <w:p>
      <w:pPr>
        <w:widowControl/>
        <w:jc w:val="left"/>
        <w:rPr>
          <w:rFonts w:ascii="仿宋" w:hAnsi="仿宋" w:eastAsia="仿宋" w:cs="仿宋"/>
          <w:b/>
          <w:bCs/>
          <w:color w:val="000000"/>
          <w:spacing w:val="-10"/>
          <w:sz w:val="28"/>
          <w:szCs w:val="28"/>
        </w:rPr>
      </w:pPr>
      <w:r>
        <w:rPr>
          <w:rFonts w:hint="eastAsia" w:ascii="仿宋" w:hAnsi="仿宋" w:eastAsia="仿宋" w:cs="仿宋"/>
          <w:b/>
          <w:bCs/>
          <w:color w:val="000000"/>
          <w:spacing w:val="-10"/>
          <w:sz w:val="28"/>
          <w:szCs w:val="28"/>
        </w:rPr>
        <w:t>1 抽样方法</w:t>
      </w:r>
    </w:p>
    <w:p>
      <w:pPr>
        <w:widowControl/>
        <w:ind w:firstLine="520" w:firstLineChars="200"/>
        <w:jc w:val="left"/>
        <w:rPr>
          <w:rFonts w:ascii="仿宋" w:hAnsi="仿宋" w:eastAsia="仿宋" w:cs="仿宋"/>
          <w:color w:val="000000"/>
          <w:spacing w:val="-10"/>
          <w:sz w:val="28"/>
          <w:szCs w:val="28"/>
        </w:rPr>
      </w:pPr>
      <w:r>
        <w:rPr>
          <w:rFonts w:hint="eastAsia" w:ascii="仿宋" w:hAnsi="仿宋" w:eastAsia="仿宋" w:cs="仿宋"/>
          <w:color w:val="000000"/>
          <w:spacing w:val="-10"/>
          <w:sz w:val="28"/>
          <w:szCs w:val="28"/>
        </w:rPr>
        <w:t>1.1抽样型号或规格</w:t>
      </w:r>
    </w:p>
    <w:p>
      <w:pPr>
        <w:widowControl/>
        <w:ind w:firstLine="520" w:firstLineChars="200"/>
        <w:jc w:val="left"/>
        <w:rPr>
          <w:rFonts w:ascii="仿宋" w:hAnsi="仿宋" w:eastAsia="仿宋" w:cs="仿宋"/>
          <w:color w:val="000000"/>
          <w:spacing w:val="-10"/>
          <w:sz w:val="28"/>
          <w:szCs w:val="28"/>
        </w:rPr>
      </w:pPr>
      <w:r>
        <w:rPr>
          <w:rFonts w:hint="eastAsia" w:ascii="仿宋" w:hAnsi="仿宋" w:eastAsia="仿宋" w:cs="仿宋"/>
          <w:color w:val="000000"/>
          <w:spacing w:val="-10"/>
          <w:sz w:val="28"/>
          <w:szCs w:val="28"/>
        </w:rPr>
        <w:t>抽取产品应为同一原材料、同一生产工艺、同一厚度产品，优先抽取主导产品。</w:t>
      </w:r>
    </w:p>
    <w:p>
      <w:pPr>
        <w:widowControl/>
        <w:ind w:firstLine="520" w:firstLineChars="200"/>
        <w:jc w:val="left"/>
        <w:rPr>
          <w:rFonts w:ascii="仿宋" w:hAnsi="仿宋" w:eastAsia="仿宋" w:cs="仿宋"/>
          <w:color w:val="000000"/>
          <w:spacing w:val="-10"/>
          <w:sz w:val="28"/>
          <w:szCs w:val="28"/>
        </w:rPr>
      </w:pPr>
      <w:r>
        <w:rPr>
          <w:rFonts w:hint="eastAsia" w:ascii="仿宋" w:hAnsi="仿宋" w:eastAsia="仿宋" w:cs="仿宋"/>
          <w:color w:val="000000"/>
          <w:spacing w:val="-10"/>
          <w:sz w:val="28"/>
          <w:szCs w:val="28"/>
        </w:rPr>
        <w:t>1.2抽样方法、基数及数量</w:t>
      </w:r>
    </w:p>
    <w:p>
      <w:pPr>
        <w:spacing w:line="300" w:lineRule="auto"/>
        <w:ind w:left="-199" w:leftChars="-95" w:firstLine="780" w:firstLineChars="300"/>
        <w:rPr>
          <w:rFonts w:ascii="仿宋" w:hAnsi="仿宋" w:eastAsia="仿宋" w:cs="Arial"/>
          <w:sz w:val="28"/>
          <w:szCs w:val="28"/>
        </w:rPr>
      </w:pPr>
      <w:r>
        <w:rPr>
          <w:rFonts w:hint="eastAsia" w:ascii="仿宋" w:hAnsi="仿宋" w:eastAsia="仿宋" w:cs="仿宋"/>
          <w:color w:val="000000"/>
          <w:spacing w:val="-10"/>
          <w:sz w:val="28"/>
          <w:szCs w:val="28"/>
        </w:rPr>
        <w:t>1.2.1以扑克牌法</w:t>
      </w:r>
      <w:r>
        <w:rPr>
          <w:rFonts w:hint="eastAsia" w:ascii="仿宋" w:hAnsi="仿宋" w:eastAsia="仿宋" w:cs="仿宋"/>
          <w:color w:val="000000"/>
          <w:spacing w:val="-10"/>
          <w:sz w:val="28"/>
          <w:szCs w:val="28"/>
          <w:lang w:eastAsia="zh-CN"/>
        </w:rPr>
        <w:t>等</w:t>
      </w:r>
      <w:r>
        <w:rPr>
          <w:rFonts w:hint="eastAsia" w:ascii="仿宋" w:hAnsi="仿宋" w:eastAsia="仿宋" w:cs="仿宋"/>
          <w:color w:val="000000"/>
          <w:spacing w:val="-10"/>
          <w:sz w:val="28"/>
          <w:szCs w:val="28"/>
        </w:rPr>
        <w:t>随机抽样</w:t>
      </w:r>
      <w:r>
        <w:rPr>
          <w:rFonts w:hint="eastAsia" w:ascii="仿宋" w:hAnsi="仿宋" w:eastAsia="仿宋" w:cs="仿宋"/>
          <w:color w:val="000000"/>
          <w:spacing w:val="-10"/>
          <w:sz w:val="28"/>
          <w:szCs w:val="28"/>
          <w:lang w:eastAsia="zh-CN"/>
        </w:rPr>
        <w:t>的方式</w:t>
      </w:r>
      <w:r>
        <w:rPr>
          <w:rFonts w:hint="eastAsia" w:ascii="仿宋" w:hAnsi="仿宋" w:eastAsia="仿宋" w:cs="仿宋"/>
          <w:color w:val="000000"/>
          <w:spacing w:val="-10"/>
          <w:sz w:val="28"/>
          <w:szCs w:val="28"/>
        </w:rPr>
        <w:t>在被抽样生产者</w:t>
      </w:r>
      <w:r>
        <w:rPr>
          <w:rFonts w:hint="eastAsia" w:ascii="仿宋" w:hAnsi="仿宋" w:eastAsia="仿宋" w:cs="仿宋"/>
          <w:color w:val="000000"/>
          <w:spacing w:val="-10"/>
          <w:sz w:val="28"/>
          <w:szCs w:val="28"/>
          <w:lang w:eastAsia="zh-CN"/>
        </w:rPr>
        <w:t>、销售</w:t>
      </w:r>
      <w:r>
        <w:rPr>
          <w:rFonts w:hint="eastAsia" w:ascii="仿宋" w:hAnsi="仿宋" w:eastAsia="仿宋" w:cs="仿宋"/>
          <w:color w:val="000000"/>
          <w:spacing w:val="-10"/>
          <w:sz w:val="28"/>
          <w:szCs w:val="28"/>
        </w:rPr>
        <w:t>者的待销产品中抽取</w:t>
      </w:r>
      <w:r>
        <w:rPr>
          <w:rFonts w:hint="eastAsia" w:ascii="仿宋" w:hAnsi="仿宋" w:eastAsia="仿宋" w:cs="Arial"/>
          <w:sz w:val="28"/>
          <w:szCs w:val="28"/>
        </w:rPr>
        <w:t>。</w:t>
      </w:r>
    </w:p>
    <w:p>
      <w:pPr>
        <w:ind w:left="-199" w:leftChars="-95" w:firstLine="780" w:firstLineChars="300"/>
        <w:jc w:val="left"/>
        <w:rPr>
          <w:rFonts w:ascii="仿宋" w:hAnsi="仿宋" w:eastAsia="仿宋" w:cs="Arial"/>
          <w:sz w:val="28"/>
          <w:szCs w:val="28"/>
        </w:rPr>
      </w:pPr>
      <w:r>
        <w:rPr>
          <w:rFonts w:hint="eastAsia" w:ascii="仿宋" w:hAnsi="仿宋" w:eastAsia="仿宋" w:cs="仿宋"/>
          <w:color w:val="000000"/>
          <w:spacing w:val="-10"/>
          <w:sz w:val="28"/>
          <w:szCs w:val="28"/>
        </w:rPr>
        <w:t>1.2.2在被抽样生产者、销售者的待销产品中抽样时，</w:t>
      </w:r>
      <w:r>
        <w:rPr>
          <w:rFonts w:hint="eastAsia" w:ascii="仿宋" w:hAnsi="仿宋" w:eastAsia="仿宋" w:cs="Arial"/>
          <w:sz w:val="28"/>
          <w:szCs w:val="28"/>
        </w:rPr>
        <w:t>每个批次抽取200mm×200mm6块;200mm×原板宽8块;夹芯板16平方米。</w:t>
      </w:r>
    </w:p>
    <w:p>
      <w:pPr>
        <w:ind w:left="-199" w:leftChars="-95" w:firstLine="560" w:firstLineChars="200"/>
        <w:jc w:val="left"/>
        <w:rPr>
          <w:rFonts w:hint="eastAsia" w:ascii="仿宋" w:hAnsi="仿宋" w:eastAsia="仿宋" w:cs="Arial"/>
          <w:sz w:val="28"/>
          <w:szCs w:val="28"/>
        </w:rPr>
      </w:pPr>
      <w:r>
        <w:rPr>
          <w:rFonts w:hint="eastAsia" w:ascii="仿宋" w:hAnsi="仿宋" w:eastAsia="仿宋" w:cs="Arial"/>
          <w:sz w:val="28"/>
          <w:szCs w:val="28"/>
        </w:rPr>
        <w:t>其中200mm×200mm3块;200mm×原板宽4块;夹芯板8平方米为检验样品。</w:t>
      </w:r>
    </w:p>
    <w:p>
      <w:pPr>
        <w:ind w:left="-199" w:leftChars="-95" w:firstLine="560" w:firstLineChars="200"/>
        <w:jc w:val="left"/>
        <w:rPr>
          <w:rFonts w:ascii="仿宋" w:hAnsi="仿宋" w:eastAsia="仿宋" w:cs="宋体"/>
          <w:color w:val="000000"/>
          <w:sz w:val="28"/>
          <w:szCs w:val="28"/>
        </w:rPr>
      </w:pPr>
      <w:r>
        <w:rPr>
          <w:rFonts w:hint="eastAsia" w:ascii="仿宋" w:hAnsi="仿宋" w:eastAsia="仿宋" w:cs="Arial"/>
          <w:sz w:val="28"/>
          <w:szCs w:val="28"/>
        </w:rPr>
        <w:t>另200mm×200mm3块;200mm×原板宽4块;夹芯板8平方米为备用样品。</w:t>
      </w:r>
    </w:p>
    <w:p>
      <w:pPr>
        <w:widowControl/>
        <w:ind w:firstLine="520" w:firstLineChars="200"/>
        <w:jc w:val="left"/>
        <w:rPr>
          <w:rFonts w:ascii="仿宋" w:hAnsi="仿宋" w:eastAsia="仿宋" w:cs="仿宋"/>
          <w:color w:val="000000"/>
          <w:spacing w:val="-10"/>
          <w:sz w:val="28"/>
          <w:szCs w:val="28"/>
        </w:rPr>
      </w:pPr>
      <w:r>
        <w:rPr>
          <w:rFonts w:hint="eastAsia" w:ascii="仿宋" w:hAnsi="仿宋" w:eastAsia="仿宋" w:cs="仿宋"/>
          <w:color w:val="000000"/>
          <w:spacing w:val="-10"/>
          <w:sz w:val="28"/>
          <w:szCs w:val="28"/>
        </w:rPr>
        <w:t>1.2.3抽样基数满足抽样数量即可。</w:t>
      </w:r>
    </w:p>
    <w:p>
      <w:pPr>
        <w:widowControl/>
        <w:jc w:val="left"/>
        <w:rPr>
          <w:rFonts w:hint="eastAsia" w:ascii="仿宋" w:hAnsi="仿宋" w:eastAsia="仿宋" w:cs="仿宋"/>
          <w:b/>
          <w:bCs/>
          <w:color w:val="000000"/>
          <w:spacing w:val="-10"/>
          <w:sz w:val="28"/>
          <w:szCs w:val="28"/>
          <w:lang w:eastAsia="zh-CN"/>
        </w:rPr>
      </w:pPr>
      <w:r>
        <w:rPr>
          <w:rFonts w:hint="eastAsia" w:ascii="仿宋" w:hAnsi="仿宋" w:eastAsia="仿宋" w:cs="仿宋"/>
          <w:b/>
          <w:bCs/>
          <w:color w:val="000000"/>
          <w:spacing w:val="-10"/>
          <w:sz w:val="28"/>
          <w:szCs w:val="28"/>
        </w:rPr>
        <w:t>2 检验</w:t>
      </w:r>
      <w:r>
        <w:rPr>
          <w:rFonts w:hint="eastAsia" w:ascii="仿宋" w:hAnsi="仿宋" w:eastAsia="仿宋" w:cs="仿宋"/>
          <w:b/>
          <w:bCs/>
          <w:color w:val="000000"/>
          <w:spacing w:val="-10"/>
          <w:sz w:val="28"/>
          <w:szCs w:val="28"/>
          <w:lang w:eastAsia="zh-CN"/>
        </w:rPr>
        <w:t>依据</w:t>
      </w:r>
    </w:p>
    <w:p>
      <w:pPr>
        <w:spacing w:line="300" w:lineRule="auto"/>
        <w:jc w:val="center"/>
        <w:rPr>
          <w:rFonts w:ascii="仿宋" w:hAnsi="仿宋" w:eastAsia="仿宋" w:cs="仿宋"/>
          <w:sz w:val="28"/>
          <w:szCs w:val="28"/>
        </w:rPr>
      </w:pPr>
      <w:r>
        <w:rPr>
          <w:rFonts w:hint="eastAsia" w:ascii="仿宋" w:hAnsi="仿宋" w:eastAsia="仿宋" w:cs="仿宋"/>
          <w:sz w:val="28"/>
          <w:szCs w:val="28"/>
        </w:rPr>
        <w:t>表1 建筑用金属面绝热夹芯板检验项目</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9"/>
        <w:gridCol w:w="3402"/>
        <w:gridCol w:w="24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blHeader/>
          <w:jc w:val="center"/>
        </w:trPr>
        <w:tc>
          <w:tcPr>
            <w:tcW w:w="699" w:type="dxa"/>
            <w:vMerge w:val="restart"/>
            <w:vAlign w:val="center"/>
          </w:tcPr>
          <w:p>
            <w:pPr>
              <w:snapToGrid w:val="0"/>
              <w:jc w:val="center"/>
              <w:rPr>
                <w:rFonts w:ascii="仿宋" w:hAnsi="仿宋" w:eastAsia="仿宋"/>
                <w:sz w:val="28"/>
                <w:szCs w:val="28"/>
              </w:rPr>
            </w:pPr>
            <w:r>
              <w:rPr>
                <w:rFonts w:hint="eastAsia" w:ascii="仿宋" w:hAnsi="仿宋" w:eastAsia="仿宋"/>
                <w:sz w:val="28"/>
                <w:szCs w:val="28"/>
              </w:rPr>
              <w:t>序号</w:t>
            </w:r>
          </w:p>
        </w:tc>
        <w:tc>
          <w:tcPr>
            <w:tcW w:w="3402" w:type="dxa"/>
            <w:vMerge w:val="restart"/>
            <w:vAlign w:val="center"/>
          </w:tcPr>
          <w:p>
            <w:pPr>
              <w:snapToGrid w:val="0"/>
              <w:jc w:val="center"/>
              <w:rPr>
                <w:rFonts w:ascii="仿宋" w:hAnsi="仿宋" w:eastAsia="仿宋"/>
                <w:sz w:val="28"/>
                <w:szCs w:val="28"/>
              </w:rPr>
            </w:pPr>
            <w:r>
              <w:rPr>
                <w:rFonts w:hint="eastAsia" w:ascii="仿宋" w:hAnsi="仿宋" w:eastAsia="仿宋"/>
                <w:sz w:val="28"/>
                <w:szCs w:val="28"/>
              </w:rPr>
              <w:t>检验项目</w:t>
            </w:r>
          </w:p>
        </w:tc>
        <w:tc>
          <w:tcPr>
            <w:tcW w:w="2482" w:type="dxa"/>
            <w:vMerge w:val="restart"/>
            <w:vAlign w:val="center"/>
          </w:tcPr>
          <w:p>
            <w:pPr>
              <w:snapToGrid w:val="0"/>
              <w:jc w:val="center"/>
              <w:rPr>
                <w:rFonts w:ascii="仿宋" w:hAnsi="仿宋" w:eastAsia="仿宋"/>
                <w:sz w:val="28"/>
                <w:szCs w:val="28"/>
              </w:rPr>
            </w:pPr>
            <w:r>
              <w:rPr>
                <w:rFonts w:hint="eastAsia" w:ascii="仿宋" w:hAnsi="仿宋" w:eastAsia="仿宋"/>
                <w:sz w:val="28"/>
                <w:szCs w:val="28"/>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blHeader/>
          <w:jc w:val="center"/>
        </w:trPr>
        <w:tc>
          <w:tcPr>
            <w:tcW w:w="699" w:type="dxa"/>
            <w:vMerge w:val="continue"/>
            <w:vAlign w:val="center"/>
          </w:tcPr>
          <w:p>
            <w:pPr>
              <w:snapToGrid w:val="0"/>
              <w:ind w:firstLine="420"/>
              <w:jc w:val="center"/>
              <w:rPr>
                <w:rFonts w:ascii="仿宋" w:hAnsi="仿宋" w:eastAsia="仿宋"/>
                <w:sz w:val="28"/>
                <w:szCs w:val="28"/>
              </w:rPr>
            </w:pPr>
          </w:p>
        </w:tc>
        <w:tc>
          <w:tcPr>
            <w:tcW w:w="3402" w:type="dxa"/>
            <w:vMerge w:val="continue"/>
            <w:vAlign w:val="center"/>
          </w:tcPr>
          <w:p>
            <w:pPr>
              <w:snapToGrid w:val="0"/>
              <w:ind w:firstLine="420"/>
              <w:jc w:val="center"/>
              <w:rPr>
                <w:rFonts w:ascii="仿宋" w:hAnsi="仿宋" w:eastAsia="仿宋"/>
                <w:sz w:val="28"/>
                <w:szCs w:val="28"/>
              </w:rPr>
            </w:pPr>
          </w:p>
        </w:tc>
        <w:tc>
          <w:tcPr>
            <w:tcW w:w="2482" w:type="dxa"/>
            <w:vMerge w:val="continue"/>
            <w:vAlign w:val="center"/>
          </w:tcPr>
          <w:p>
            <w:pPr>
              <w:snapToGrid w:val="0"/>
              <w:ind w:firstLine="420"/>
              <w:jc w:val="center"/>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9" w:type="dxa"/>
            <w:vAlign w:val="center"/>
          </w:tcPr>
          <w:p>
            <w:pPr>
              <w:spacing w:line="360" w:lineRule="auto"/>
              <w:jc w:val="center"/>
              <w:rPr>
                <w:rFonts w:ascii="仿宋" w:hAnsi="仿宋" w:eastAsia="仿宋" w:cs="方正仿宋简体"/>
                <w:sz w:val="28"/>
                <w:szCs w:val="28"/>
              </w:rPr>
            </w:pPr>
            <w:r>
              <w:rPr>
                <w:rFonts w:hint="eastAsia" w:ascii="仿宋" w:hAnsi="仿宋" w:eastAsia="仿宋" w:cs="方正仿宋简体"/>
                <w:sz w:val="28"/>
                <w:szCs w:val="28"/>
              </w:rPr>
              <w:t>1</w:t>
            </w:r>
          </w:p>
        </w:tc>
        <w:tc>
          <w:tcPr>
            <w:tcW w:w="3402" w:type="dxa"/>
            <w:vAlign w:val="center"/>
          </w:tcPr>
          <w:p>
            <w:pPr>
              <w:spacing w:line="360" w:lineRule="auto"/>
              <w:jc w:val="center"/>
              <w:rPr>
                <w:rFonts w:ascii="仿宋" w:hAnsi="仿宋" w:eastAsia="仿宋" w:cs="Arial"/>
                <w:sz w:val="28"/>
                <w:szCs w:val="28"/>
              </w:rPr>
            </w:pPr>
            <w:r>
              <w:rPr>
                <w:rFonts w:hint="eastAsia" w:ascii="仿宋" w:hAnsi="仿宋" w:eastAsia="仿宋" w:cs="Arial"/>
                <w:sz w:val="28"/>
                <w:szCs w:val="28"/>
              </w:rPr>
              <w:t>基板厚度</w:t>
            </w:r>
            <w:r>
              <w:rPr>
                <w:rFonts w:hint="eastAsia" w:ascii="仿宋" w:hAnsi="仿宋" w:eastAsia="仿宋" w:cs="仿宋"/>
                <w:color w:val="000000"/>
                <w:spacing w:val="-10"/>
                <w:sz w:val="28"/>
                <w:szCs w:val="28"/>
              </w:rPr>
              <w:t>(原材料要求)</w:t>
            </w:r>
          </w:p>
        </w:tc>
        <w:tc>
          <w:tcPr>
            <w:tcW w:w="2482" w:type="dxa"/>
            <w:vAlign w:val="center"/>
          </w:tcPr>
          <w:p>
            <w:pPr>
              <w:spacing w:line="360" w:lineRule="auto"/>
              <w:jc w:val="center"/>
              <w:rPr>
                <w:rFonts w:ascii="仿宋" w:hAnsi="仿宋" w:eastAsia="仿宋" w:cs="Arial"/>
                <w:sz w:val="28"/>
                <w:szCs w:val="28"/>
              </w:rPr>
            </w:pPr>
            <w:r>
              <w:rPr>
                <w:rFonts w:hint="eastAsia" w:ascii="仿宋" w:hAnsi="仿宋" w:eastAsia="仿宋" w:cs="Arial"/>
                <w:sz w:val="28"/>
                <w:szCs w:val="28"/>
              </w:rPr>
              <w:t>相应牌号基板标准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9" w:type="dxa"/>
            <w:vAlign w:val="center"/>
          </w:tcPr>
          <w:p>
            <w:pPr>
              <w:spacing w:line="360" w:lineRule="auto"/>
              <w:jc w:val="center"/>
              <w:rPr>
                <w:rFonts w:ascii="仿宋" w:hAnsi="仿宋" w:eastAsia="仿宋" w:cs="方正仿宋简体"/>
                <w:sz w:val="28"/>
                <w:szCs w:val="28"/>
              </w:rPr>
            </w:pPr>
            <w:r>
              <w:rPr>
                <w:rFonts w:hint="eastAsia" w:ascii="仿宋" w:hAnsi="仿宋" w:eastAsia="仿宋" w:cs="方正仿宋简体"/>
                <w:sz w:val="28"/>
                <w:szCs w:val="28"/>
              </w:rPr>
              <w:t>2</w:t>
            </w:r>
          </w:p>
        </w:tc>
        <w:tc>
          <w:tcPr>
            <w:tcW w:w="3402" w:type="dxa"/>
            <w:vAlign w:val="center"/>
          </w:tcPr>
          <w:p>
            <w:pPr>
              <w:spacing w:line="360" w:lineRule="auto"/>
              <w:jc w:val="center"/>
              <w:rPr>
                <w:rFonts w:ascii="仿宋" w:hAnsi="仿宋" w:eastAsia="仿宋" w:cs="Arial"/>
                <w:sz w:val="28"/>
                <w:szCs w:val="28"/>
              </w:rPr>
            </w:pPr>
            <w:r>
              <w:rPr>
                <w:rFonts w:hint="eastAsia" w:ascii="仿宋" w:hAnsi="仿宋" w:eastAsia="仿宋" w:cs="Arial"/>
                <w:sz w:val="28"/>
                <w:szCs w:val="28"/>
              </w:rPr>
              <w:t>粘接强度</w:t>
            </w:r>
          </w:p>
        </w:tc>
        <w:tc>
          <w:tcPr>
            <w:tcW w:w="2482" w:type="dxa"/>
            <w:vAlign w:val="center"/>
          </w:tcPr>
          <w:p>
            <w:pPr>
              <w:spacing w:line="360" w:lineRule="auto"/>
              <w:jc w:val="center"/>
              <w:rPr>
                <w:rFonts w:ascii="仿宋" w:hAnsi="仿宋" w:eastAsia="仿宋" w:cs="方正仿宋简体"/>
                <w:sz w:val="28"/>
                <w:szCs w:val="28"/>
              </w:rPr>
            </w:pPr>
            <w:r>
              <w:rPr>
                <w:rFonts w:ascii="仿宋" w:hAnsi="仿宋" w:eastAsia="仿宋" w:cs="Arial"/>
                <w:sz w:val="28"/>
                <w:szCs w:val="28"/>
              </w:rPr>
              <w:t>GB/T23932-2009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9" w:type="dxa"/>
            <w:vAlign w:val="center"/>
          </w:tcPr>
          <w:p>
            <w:pPr>
              <w:spacing w:line="360" w:lineRule="auto"/>
              <w:jc w:val="center"/>
              <w:rPr>
                <w:rFonts w:ascii="仿宋" w:hAnsi="仿宋" w:eastAsia="仿宋" w:cs="方正仿宋简体"/>
                <w:sz w:val="28"/>
                <w:szCs w:val="28"/>
              </w:rPr>
            </w:pPr>
            <w:r>
              <w:rPr>
                <w:rFonts w:hint="eastAsia" w:ascii="仿宋" w:hAnsi="仿宋" w:eastAsia="仿宋" w:cs="方正仿宋简体"/>
                <w:sz w:val="28"/>
                <w:szCs w:val="28"/>
              </w:rPr>
              <w:t>3</w:t>
            </w:r>
          </w:p>
        </w:tc>
        <w:tc>
          <w:tcPr>
            <w:tcW w:w="3402" w:type="dxa"/>
            <w:vAlign w:val="center"/>
          </w:tcPr>
          <w:p>
            <w:pPr>
              <w:spacing w:line="360" w:lineRule="auto"/>
              <w:jc w:val="center"/>
              <w:rPr>
                <w:rFonts w:ascii="仿宋" w:hAnsi="仿宋" w:eastAsia="仿宋" w:cs="Arial"/>
                <w:sz w:val="28"/>
                <w:szCs w:val="28"/>
              </w:rPr>
            </w:pPr>
            <w:r>
              <w:rPr>
                <w:rFonts w:hint="eastAsia" w:ascii="仿宋" w:hAnsi="仿宋" w:eastAsia="仿宋" w:cs="Arial"/>
                <w:sz w:val="28"/>
                <w:szCs w:val="28"/>
              </w:rPr>
              <w:t>剥离性能</w:t>
            </w:r>
          </w:p>
        </w:tc>
        <w:tc>
          <w:tcPr>
            <w:tcW w:w="2482" w:type="dxa"/>
            <w:vAlign w:val="center"/>
          </w:tcPr>
          <w:p>
            <w:pPr>
              <w:spacing w:line="360" w:lineRule="auto"/>
              <w:jc w:val="center"/>
              <w:rPr>
                <w:rFonts w:ascii="仿宋" w:hAnsi="仿宋" w:eastAsia="仿宋" w:cs="方正仿宋简体"/>
                <w:sz w:val="28"/>
                <w:szCs w:val="28"/>
              </w:rPr>
            </w:pPr>
            <w:r>
              <w:rPr>
                <w:rFonts w:ascii="仿宋" w:hAnsi="仿宋" w:eastAsia="仿宋" w:cs="Arial"/>
                <w:sz w:val="28"/>
                <w:szCs w:val="28"/>
              </w:rPr>
              <w:t>GB/T23932-2009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9" w:type="dxa"/>
            <w:vAlign w:val="center"/>
          </w:tcPr>
          <w:p>
            <w:pPr>
              <w:spacing w:line="360" w:lineRule="auto"/>
              <w:jc w:val="center"/>
              <w:rPr>
                <w:rFonts w:ascii="仿宋" w:hAnsi="仿宋" w:eastAsia="仿宋" w:cs="方正仿宋简体"/>
                <w:sz w:val="28"/>
                <w:szCs w:val="28"/>
              </w:rPr>
            </w:pPr>
            <w:r>
              <w:rPr>
                <w:rFonts w:hint="eastAsia" w:ascii="仿宋" w:hAnsi="仿宋" w:eastAsia="仿宋" w:cs="方正仿宋简体"/>
                <w:sz w:val="28"/>
                <w:szCs w:val="28"/>
              </w:rPr>
              <w:t>4</w:t>
            </w:r>
          </w:p>
        </w:tc>
        <w:tc>
          <w:tcPr>
            <w:tcW w:w="3402" w:type="dxa"/>
            <w:vAlign w:val="center"/>
          </w:tcPr>
          <w:p>
            <w:pPr>
              <w:spacing w:line="360" w:lineRule="auto"/>
              <w:jc w:val="center"/>
              <w:rPr>
                <w:rFonts w:ascii="仿宋" w:hAnsi="仿宋" w:eastAsia="仿宋" w:cs="仿宋"/>
                <w:color w:val="000000"/>
                <w:spacing w:val="-10"/>
                <w:sz w:val="28"/>
                <w:szCs w:val="28"/>
              </w:rPr>
            </w:pPr>
            <w:r>
              <w:rPr>
                <w:rFonts w:hint="eastAsia" w:ascii="仿宋" w:hAnsi="仿宋" w:eastAsia="仿宋" w:cs="Arial"/>
                <w:sz w:val="28"/>
                <w:szCs w:val="28"/>
              </w:rPr>
              <w:t>聚苯乙烯密度</w:t>
            </w:r>
          </w:p>
          <w:p>
            <w:pPr>
              <w:spacing w:line="360" w:lineRule="auto"/>
              <w:jc w:val="center"/>
              <w:rPr>
                <w:rFonts w:ascii="仿宋" w:hAnsi="仿宋" w:eastAsia="仿宋" w:cs="Arial"/>
                <w:sz w:val="28"/>
                <w:szCs w:val="28"/>
              </w:rPr>
            </w:pPr>
            <w:r>
              <w:rPr>
                <w:rFonts w:hint="eastAsia" w:ascii="仿宋" w:hAnsi="仿宋" w:eastAsia="仿宋" w:cs="仿宋"/>
                <w:color w:val="000000"/>
                <w:spacing w:val="-10"/>
                <w:sz w:val="28"/>
                <w:szCs w:val="28"/>
              </w:rPr>
              <w:t>(原材料要求)</w:t>
            </w:r>
          </w:p>
        </w:tc>
        <w:tc>
          <w:tcPr>
            <w:tcW w:w="2482" w:type="dxa"/>
            <w:vAlign w:val="center"/>
          </w:tcPr>
          <w:p>
            <w:pPr>
              <w:spacing w:line="360" w:lineRule="auto"/>
              <w:jc w:val="center"/>
              <w:rPr>
                <w:rFonts w:ascii="仿宋" w:hAnsi="仿宋" w:eastAsia="仿宋" w:cs="Arial"/>
                <w:sz w:val="28"/>
                <w:szCs w:val="28"/>
              </w:rPr>
            </w:pPr>
            <w:r>
              <w:rPr>
                <w:rFonts w:hint="eastAsia" w:ascii="仿宋" w:hAnsi="仿宋" w:eastAsia="仿宋" w:cs="Arial"/>
                <w:sz w:val="28"/>
                <w:szCs w:val="28"/>
              </w:rPr>
              <w:t>GB/T6343-2009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9" w:type="dxa"/>
            <w:vAlign w:val="center"/>
          </w:tcPr>
          <w:p>
            <w:pPr>
              <w:spacing w:line="360" w:lineRule="auto"/>
              <w:jc w:val="center"/>
              <w:rPr>
                <w:rFonts w:ascii="仿宋" w:hAnsi="仿宋" w:eastAsia="仿宋" w:cs="方正仿宋简体"/>
                <w:sz w:val="28"/>
                <w:szCs w:val="28"/>
              </w:rPr>
            </w:pPr>
            <w:r>
              <w:rPr>
                <w:rFonts w:hint="eastAsia" w:ascii="仿宋" w:hAnsi="仿宋" w:eastAsia="仿宋" w:cs="方正仿宋简体"/>
                <w:sz w:val="28"/>
                <w:szCs w:val="28"/>
              </w:rPr>
              <w:t>5</w:t>
            </w:r>
          </w:p>
        </w:tc>
        <w:tc>
          <w:tcPr>
            <w:tcW w:w="3402" w:type="dxa"/>
            <w:vAlign w:val="center"/>
          </w:tcPr>
          <w:p>
            <w:pPr>
              <w:spacing w:line="360" w:lineRule="auto"/>
              <w:jc w:val="center"/>
              <w:rPr>
                <w:rFonts w:ascii="仿宋" w:hAnsi="仿宋" w:eastAsia="仿宋" w:cs="Arial"/>
                <w:sz w:val="28"/>
                <w:szCs w:val="28"/>
              </w:rPr>
            </w:pPr>
            <w:r>
              <w:rPr>
                <w:rFonts w:hint="eastAsia" w:ascii="仿宋" w:hAnsi="仿宋" w:eastAsia="仿宋" w:cs="Arial"/>
                <w:sz w:val="28"/>
                <w:szCs w:val="28"/>
              </w:rPr>
              <w:t>燃烧性能</w:t>
            </w:r>
            <w:r>
              <w:rPr>
                <w:rFonts w:hint="eastAsia" w:ascii="仿宋" w:hAnsi="仿宋" w:eastAsia="仿宋" w:cs="仿宋"/>
                <w:color w:val="000000"/>
                <w:spacing w:val="-10"/>
                <w:sz w:val="28"/>
                <w:szCs w:val="28"/>
              </w:rPr>
              <w:t>(原材料要求)</w:t>
            </w:r>
          </w:p>
        </w:tc>
        <w:tc>
          <w:tcPr>
            <w:tcW w:w="2482" w:type="dxa"/>
            <w:vAlign w:val="center"/>
          </w:tcPr>
          <w:p>
            <w:pPr>
              <w:spacing w:line="360" w:lineRule="auto"/>
              <w:jc w:val="center"/>
              <w:rPr>
                <w:rFonts w:ascii="仿宋" w:hAnsi="仿宋" w:eastAsia="仿宋" w:cs="Arial"/>
                <w:sz w:val="28"/>
                <w:szCs w:val="28"/>
              </w:rPr>
            </w:pPr>
            <w:r>
              <w:rPr>
                <w:rFonts w:hint="eastAsia" w:ascii="仿宋" w:hAnsi="仿宋" w:eastAsia="仿宋" w:cs="Arial"/>
                <w:sz w:val="28"/>
                <w:szCs w:val="28"/>
              </w:rPr>
              <w:t>GB8624-2012</w:t>
            </w:r>
          </w:p>
        </w:tc>
      </w:tr>
    </w:tbl>
    <w:p>
      <w:pPr>
        <w:snapToGrid w:val="0"/>
        <w:spacing w:line="440" w:lineRule="exact"/>
        <w:rPr>
          <w:rFonts w:ascii="仿宋" w:hAnsi="仿宋" w:eastAsia="仿宋"/>
          <w:sz w:val="28"/>
          <w:szCs w:val="28"/>
        </w:rPr>
      </w:pPr>
    </w:p>
    <w:p>
      <w:pPr>
        <w:snapToGrid w:val="0"/>
        <w:spacing w:line="440" w:lineRule="exact"/>
        <w:rPr>
          <w:rFonts w:ascii="仿宋" w:hAnsi="仿宋" w:eastAsia="仿宋"/>
          <w:sz w:val="28"/>
          <w:szCs w:val="28"/>
        </w:rPr>
      </w:pPr>
      <w:r>
        <w:rPr>
          <w:rFonts w:hint="eastAsia" w:ascii="仿宋" w:hAnsi="仿宋" w:eastAsia="仿宋"/>
          <w:sz w:val="28"/>
          <w:szCs w:val="28"/>
        </w:rPr>
        <w:t>执行企业标准、团体标准、地方标准的产品，检验项目参照上述内容执行。</w:t>
      </w:r>
    </w:p>
    <w:p>
      <w:pPr>
        <w:snapToGrid w:val="0"/>
        <w:spacing w:line="440" w:lineRule="exact"/>
        <w:rPr>
          <w:rFonts w:ascii="仿宋" w:hAnsi="仿宋" w:eastAsia="仿宋" w:cs="仿宋"/>
          <w:color w:val="000000"/>
          <w:spacing w:val="-10"/>
          <w:sz w:val="28"/>
          <w:szCs w:val="28"/>
        </w:rPr>
      </w:pPr>
      <w:r>
        <w:rPr>
          <w:rFonts w:hint="eastAsia" w:ascii="仿宋" w:hAnsi="仿宋" w:eastAsia="仿宋"/>
          <w:sz w:val="28"/>
          <w:szCs w:val="28"/>
        </w:rPr>
        <w:t>注：</w:t>
      </w:r>
      <w:r>
        <w:rPr>
          <w:rFonts w:hint="eastAsia" w:ascii="仿宋" w:hAnsi="仿宋" w:eastAsia="仿宋" w:cs="仿宋"/>
          <w:color w:val="000000"/>
          <w:spacing w:val="-10"/>
          <w:sz w:val="28"/>
          <w:szCs w:val="28"/>
        </w:rPr>
        <w:t>凡是注日期的文件，其随后所有的修改单（不包括勘误的内容）或修订版不适用于本细则。凡是不注日期的文件，其最新版本适用于本细则。</w:t>
      </w:r>
    </w:p>
    <w:p>
      <w:pPr>
        <w:widowControl/>
        <w:jc w:val="left"/>
        <w:rPr>
          <w:rFonts w:ascii="仿宋" w:hAnsi="仿宋" w:eastAsia="仿宋" w:cs="仿宋"/>
          <w:b/>
          <w:bCs/>
          <w:color w:val="000000"/>
          <w:spacing w:val="-10"/>
          <w:sz w:val="28"/>
          <w:szCs w:val="28"/>
        </w:rPr>
      </w:pPr>
      <w:r>
        <w:rPr>
          <w:rFonts w:hint="eastAsia" w:ascii="仿宋" w:hAnsi="仿宋" w:eastAsia="仿宋" w:cs="仿宋"/>
          <w:b/>
          <w:bCs/>
          <w:color w:val="000000"/>
          <w:spacing w:val="-10"/>
          <w:sz w:val="28"/>
          <w:szCs w:val="28"/>
        </w:rPr>
        <w:t>3 判定规则</w:t>
      </w:r>
      <w:bookmarkStart w:id="0" w:name="_GoBack"/>
      <w:bookmarkEnd w:id="0"/>
    </w:p>
    <w:p>
      <w:pPr>
        <w:widowControl/>
        <w:ind w:firstLine="480"/>
        <w:jc w:val="left"/>
        <w:rPr>
          <w:rFonts w:ascii="仿宋" w:hAnsi="仿宋" w:eastAsia="仿宋" w:cs="仿宋"/>
          <w:color w:val="000000"/>
          <w:spacing w:val="-10"/>
          <w:sz w:val="28"/>
          <w:szCs w:val="28"/>
        </w:rPr>
      </w:pPr>
      <w:r>
        <w:rPr>
          <w:rFonts w:hint="eastAsia" w:ascii="仿宋" w:hAnsi="仿宋" w:eastAsia="仿宋" w:cs="仿宋"/>
          <w:color w:val="000000"/>
          <w:spacing w:val="-10"/>
          <w:sz w:val="28"/>
          <w:szCs w:val="28"/>
        </w:rPr>
        <w:t>3.1依据标准</w:t>
      </w:r>
    </w:p>
    <w:p>
      <w:pPr>
        <w:widowControl/>
        <w:ind w:firstLine="480"/>
        <w:jc w:val="left"/>
        <w:rPr>
          <w:rFonts w:ascii="仿宋" w:hAnsi="仿宋" w:eastAsia="仿宋" w:cs="仿宋"/>
          <w:color w:val="000000"/>
          <w:spacing w:val="-10"/>
          <w:sz w:val="28"/>
          <w:szCs w:val="28"/>
        </w:rPr>
      </w:pPr>
      <w:r>
        <w:rPr>
          <w:rFonts w:hint="eastAsia" w:ascii="仿宋" w:hAnsi="仿宋" w:eastAsia="仿宋" w:cs="仿宋"/>
          <w:color w:val="000000"/>
          <w:spacing w:val="-10"/>
          <w:sz w:val="28"/>
          <w:szCs w:val="28"/>
        </w:rPr>
        <w:t>金属面材相应牌号基板标准(原材料要求)</w:t>
      </w:r>
    </w:p>
    <w:p>
      <w:pPr>
        <w:widowControl/>
        <w:ind w:firstLine="520" w:firstLineChars="200"/>
        <w:jc w:val="left"/>
        <w:rPr>
          <w:rFonts w:ascii="仿宋" w:hAnsi="仿宋" w:eastAsia="仿宋" w:cs="仿宋"/>
          <w:color w:val="000000"/>
          <w:spacing w:val="-10"/>
          <w:sz w:val="28"/>
          <w:szCs w:val="28"/>
        </w:rPr>
      </w:pPr>
      <w:r>
        <w:rPr>
          <w:rFonts w:ascii="仿宋" w:hAnsi="仿宋" w:eastAsia="仿宋" w:cs="仿宋"/>
          <w:color w:val="000000"/>
          <w:spacing w:val="-10"/>
          <w:sz w:val="28"/>
          <w:szCs w:val="28"/>
        </w:rPr>
        <w:t xml:space="preserve">GB/T23932-2009 </w:t>
      </w:r>
      <w:r>
        <w:rPr>
          <w:rFonts w:hint="eastAsia" w:ascii="仿宋" w:hAnsi="仿宋" w:eastAsia="仿宋" w:cs="仿宋"/>
          <w:color w:val="000000"/>
          <w:spacing w:val="-10"/>
          <w:sz w:val="28"/>
          <w:szCs w:val="28"/>
        </w:rPr>
        <w:t>建筑用金属面绝热夹芯板</w:t>
      </w:r>
    </w:p>
    <w:p>
      <w:pPr>
        <w:widowControl/>
        <w:ind w:firstLine="520" w:firstLineChars="200"/>
        <w:jc w:val="left"/>
        <w:rPr>
          <w:rFonts w:ascii="仿宋" w:hAnsi="仿宋" w:eastAsia="仿宋" w:cs="仿宋"/>
          <w:color w:val="000000"/>
          <w:spacing w:val="-10"/>
          <w:sz w:val="28"/>
          <w:szCs w:val="28"/>
        </w:rPr>
      </w:pPr>
      <w:r>
        <w:rPr>
          <w:rFonts w:hint="eastAsia" w:ascii="仿宋" w:hAnsi="仿宋" w:eastAsia="仿宋" w:cs="仿宋"/>
          <w:color w:val="000000"/>
          <w:spacing w:val="-10"/>
          <w:sz w:val="28"/>
          <w:szCs w:val="28"/>
        </w:rPr>
        <w:t>GB8624-2012建筑材料及制品燃烧性能分级 (原材料要求)</w:t>
      </w:r>
    </w:p>
    <w:p>
      <w:pPr>
        <w:widowControl/>
        <w:jc w:val="left"/>
        <w:rPr>
          <w:rFonts w:ascii="仿宋" w:hAnsi="仿宋" w:eastAsia="仿宋" w:cs="仿宋"/>
          <w:color w:val="000000"/>
          <w:spacing w:val="-10"/>
          <w:sz w:val="28"/>
          <w:szCs w:val="28"/>
        </w:rPr>
      </w:pPr>
      <w:r>
        <w:rPr>
          <w:rFonts w:hint="eastAsia" w:ascii="仿宋" w:hAnsi="仿宋" w:eastAsia="仿宋" w:cs="仿宋"/>
          <w:color w:val="000000"/>
          <w:spacing w:val="-10"/>
          <w:sz w:val="28"/>
          <w:szCs w:val="28"/>
        </w:rPr>
        <w:t xml:space="preserve">    相关的法律、行政法规、部门规章、规范性文件</w:t>
      </w:r>
    </w:p>
    <w:p>
      <w:pPr>
        <w:widowControl/>
        <w:jc w:val="left"/>
        <w:rPr>
          <w:rFonts w:ascii="仿宋" w:hAnsi="仿宋" w:eastAsia="仿宋" w:cs="仿宋"/>
          <w:color w:val="000000"/>
          <w:spacing w:val="-10"/>
          <w:sz w:val="28"/>
          <w:szCs w:val="28"/>
        </w:rPr>
      </w:pPr>
      <w:r>
        <w:rPr>
          <w:rFonts w:hint="eastAsia" w:ascii="仿宋" w:hAnsi="仿宋" w:eastAsia="仿宋" w:cs="仿宋"/>
          <w:color w:val="000000"/>
          <w:spacing w:val="-10"/>
          <w:sz w:val="28"/>
          <w:szCs w:val="28"/>
        </w:rPr>
        <w:t xml:space="preserve">    现行有效的企业标准、团体标准、地方标准及产品明示质量要求</w:t>
      </w:r>
    </w:p>
    <w:p>
      <w:pPr>
        <w:widowControl/>
        <w:jc w:val="left"/>
        <w:rPr>
          <w:rFonts w:ascii="仿宋" w:hAnsi="仿宋" w:eastAsia="仿宋" w:cs="仿宋"/>
          <w:color w:val="000000"/>
          <w:spacing w:val="-10"/>
          <w:sz w:val="28"/>
          <w:szCs w:val="28"/>
        </w:rPr>
      </w:pPr>
      <w:r>
        <w:rPr>
          <w:rFonts w:hint="eastAsia" w:ascii="仿宋" w:hAnsi="仿宋" w:eastAsia="仿宋" w:cs="仿宋"/>
          <w:color w:val="000000"/>
          <w:spacing w:val="-10"/>
          <w:sz w:val="28"/>
          <w:szCs w:val="28"/>
        </w:rPr>
        <w:t xml:space="preserve"> </w:t>
      </w:r>
      <w:r>
        <w:rPr>
          <w:rFonts w:hint="eastAsia" w:ascii="仿宋" w:hAnsi="仿宋" w:eastAsia="仿宋" w:cs="仿宋"/>
          <w:color w:val="000000"/>
          <w:spacing w:val="-10"/>
          <w:sz w:val="28"/>
          <w:szCs w:val="28"/>
          <w:lang w:val="en-US" w:eastAsia="zh-CN"/>
        </w:rPr>
        <w:t xml:space="preserve">   </w:t>
      </w:r>
      <w:r>
        <w:rPr>
          <w:rFonts w:hint="eastAsia" w:ascii="仿宋" w:hAnsi="仿宋" w:eastAsia="仿宋" w:cs="仿宋"/>
          <w:color w:val="000000"/>
          <w:spacing w:val="-10"/>
          <w:sz w:val="28"/>
          <w:szCs w:val="28"/>
        </w:rPr>
        <w:t>3.2判定原则</w:t>
      </w:r>
    </w:p>
    <w:p>
      <w:pPr>
        <w:widowControl/>
        <w:ind w:firstLine="465"/>
        <w:jc w:val="left"/>
        <w:rPr>
          <w:rFonts w:ascii="仿宋" w:hAnsi="仿宋" w:eastAsia="仿宋" w:cs="仿宋"/>
          <w:color w:val="000000"/>
          <w:spacing w:val="-10"/>
          <w:sz w:val="28"/>
          <w:szCs w:val="28"/>
        </w:rPr>
      </w:pPr>
      <w:r>
        <w:rPr>
          <w:rFonts w:hint="eastAsia" w:ascii="仿宋" w:hAnsi="仿宋" w:eastAsia="仿宋" w:cs="仿宋"/>
          <w:color w:val="000000"/>
          <w:spacing w:val="-10"/>
          <w:sz w:val="28"/>
          <w:szCs w:val="28"/>
        </w:rPr>
        <w:t>经检验，检验项目全部合格，判定为被抽查产品</w:t>
      </w:r>
      <w:r>
        <w:rPr>
          <w:rFonts w:hint="eastAsia" w:ascii="仿宋" w:hAnsi="仿宋" w:eastAsia="仿宋" w:cs="仿宋"/>
          <w:color w:val="auto"/>
          <w:spacing w:val="-10"/>
          <w:sz w:val="28"/>
          <w:szCs w:val="28"/>
        </w:rPr>
        <w:t>所检项目未发现不合格；</w:t>
      </w:r>
      <w:r>
        <w:rPr>
          <w:rFonts w:hint="eastAsia" w:ascii="仿宋" w:hAnsi="仿宋" w:eastAsia="仿宋" w:cs="仿宋"/>
          <w:color w:val="000000"/>
          <w:spacing w:val="-10"/>
          <w:sz w:val="28"/>
          <w:szCs w:val="28"/>
        </w:rPr>
        <w:t>检验项目中任一项或一项以上不合格，判定为被抽查产品不合格。</w:t>
      </w:r>
    </w:p>
    <w:p>
      <w:pPr>
        <w:widowControl/>
        <w:ind w:firstLine="465"/>
        <w:jc w:val="left"/>
        <w:rPr>
          <w:rFonts w:ascii="仿宋" w:hAnsi="仿宋" w:eastAsia="仿宋" w:cs="仿宋"/>
          <w:color w:val="000000"/>
          <w:spacing w:val="-10"/>
          <w:sz w:val="28"/>
          <w:szCs w:val="28"/>
        </w:rPr>
      </w:pPr>
      <w:r>
        <w:rPr>
          <w:rFonts w:hint="eastAsia" w:ascii="仿宋" w:hAnsi="仿宋" w:eastAsia="仿宋" w:cs="仿宋"/>
          <w:color w:val="000000"/>
          <w:spacing w:val="-10"/>
          <w:sz w:val="28"/>
          <w:szCs w:val="28"/>
        </w:rPr>
        <w:t>若被检产品明示的质量要求高于本细则中检验项目依据的标准要求时，应按被检产品明示的质量要求判定。</w:t>
      </w:r>
    </w:p>
    <w:p>
      <w:pPr>
        <w:widowControl/>
        <w:ind w:firstLine="465"/>
        <w:jc w:val="left"/>
        <w:rPr>
          <w:rFonts w:ascii="仿宋" w:hAnsi="仿宋" w:eastAsia="仿宋" w:cs="仿宋"/>
          <w:color w:val="000000"/>
          <w:spacing w:val="-10"/>
          <w:sz w:val="28"/>
          <w:szCs w:val="28"/>
        </w:rPr>
      </w:pPr>
      <w:r>
        <w:rPr>
          <w:rFonts w:hint="eastAsia" w:ascii="仿宋" w:hAnsi="仿宋" w:eastAsia="仿宋" w:cs="仿宋"/>
          <w:color w:val="000000"/>
          <w:spacing w:val="-10"/>
          <w:sz w:val="28"/>
          <w:szCs w:val="28"/>
        </w:rPr>
        <w:t>若被检产品明示的质量要求低于本细则中检验项目依据的强制性标准要求时，应按照强制性标准要求判定。</w:t>
      </w:r>
    </w:p>
    <w:p>
      <w:pPr>
        <w:widowControl/>
        <w:ind w:firstLine="465"/>
        <w:jc w:val="left"/>
        <w:rPr>
          <w:rFonts w:ascii="仿宋" w:hAnsi="仿宋" w:eastAsia="仿宋" w:cs="仿宋"/>
          <w:color w:val="000000"/>
          <w:spacing w:val="-10"/>
          <w:sz w:val="28"/>
          <w:szCs w:val="28"/>
        </w:rPr>
      </w:pPr>
      <w:r>
        <w:rPr>
          <w:rFonts w:hint="eastAsia" w:ascii="仿宋" w:hAnsi="仿宋" w:eastAsia="仿宋" w:cs="仿宋"/>
          <w:color w:val="000000"/>
          <w:spacing w:val="-10"/>
          <w:sz w:val="28"/>
          <w:szCs w:val="28"/>
        </w:rPr>
        <w:t>若被检产品明示的质量要求低于或包含本细则中检验项目依据的推荐性标准要求时，应以被检产品明示的质量要求判定。</w:t>
      </w:r>
    </w:p>
    <w:p>
      <w:pPr>
        <w:widowControl/>
        <w:ind w:firstLine="465"/>
        <w:jc w:val="left"/>
        <w:rPr>
          <w:rFonts w:ascii="仿宋" w:hAnsi="仿宋" w:eastAsia="仿宋" w:cs="仿宋"/>
          <w:color w:val="000000" w:themeColor="text1"/>
          <w:spacing w:val="-10"/>
          <w:sz w:val="28"/>
          <w:szCs w:val="28"/>
        </w:rPr>
      </w:pPr>
      <w:r>
        <w:rPr>
          <w:rFonts w:hint="eastAsia" w:ascii="仿宋" w:hAnsi="仿宋" w:eastAsia="仿宋" w:cs="仿宋"/>
          <w:color w:val="000000" w:themeColor="text1"/>
          <w:spacing w:val="-10"/>
          <w:sz w:val="28"/>
          <w:szCs w:val="28"/>
        </w:rPr>
        <w:t>若被检产品明示的质量要求缺少本细则中检验项目依据的强制性标准要求时，应按照强制性标准要求判定。</w:t>
      </w:r>
    </w:p>
    <w:p>
      <w:pPr>
        <w:widowControl/>
        <w:ind w:firstLine="520" w:firstLineChars="200"/>
        <w:jc w:val="left"/>
        <w:rPr>
          <w:sz w:val="28"/>
          <w:szCs w:val="28"/>
        </w:rPr>
      </w:pPr>
      <w:r>
        <w:rPr>
          <w:rFonts w:hint="eastAsia" w:ascii="仿宋" w:hAnsi="仿宋" w:eastAsia="仿宋" w:cs="仿宋"/>
          <w:color w:val="000000"/>
          <w:spacing w:val="-10"/>
          <w:sz w:val="28"/>
          <w:szCs w:val="28"/>
        </w:rPr>
        <w:t>若被检产品明示的质量要求缺少本细则中检验项目依据的推荐性标准要求时，该项目不参与判定。</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modern"/>
    <w:pitch w:val="default"/>
    <w:sig w:usb0="00000000" w:usb1="00000000" w:usb2="00000016" w:usb3="00000000" w:csb0="00040001" w:csb1="00000000"/>
  </w:font>
  <w:font w:name="方正仿宋简体">
    <w:altName w:val="方正仿宋_GBK"/>
    <w:panose1 w:val="00000000000000000000"/>
    <w:charset w:val="86"/>
    <w:family w:val="auto"/>
    <w:pitch w:val="default"/>
    <w:sig w:usb0="00000000" w:usb1="00000000" w:usb2="00000010" w:usb3="00000000" w:csb0="00040000"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jY2ZDk2ZDEyZjBhMWM0NWYxYzBjMTI5ZTc0MTMyMTIifQ=="/>
  </w:docVars>
  <w:rsids>
    <w:rsidRoot w:val="00DC0F2E"/>
    <w:rsid w:val="00011CA1"/>
    <w:rsid w:val="00014D9B"/>
    <w:rsid w:val="00026066"/>
    <w:rsid w:val="00097BC8"/>
    <w:rsid w:val="000C0A5F"/>
    <w:rsid w:val="000E54AD"/>
    <w:rsid w:val="001230D2"/>
    <w:rsid w:val="00123E7D"/>
    <w:rsid w:val="001316CC"/>
    <w:rsid w:val="00160004"/>
    <w:rsid w:val="00166F19"/>
    <w:rsid w:val="00181CB2"/>
    <w:rsid w:val="00186AF1"/>
    <w:rsid w:val="001C4251"/>
    <w:rsid w:val="001C6546"/>
    <w:rsid w:val="001E037E"/>
    <w:rsid w:val="001F1EBD"/>
    <w:rsid w:val="00204BAF"/>
    <w:rsid w:val="00206EB6"/>
    <w:rsid w:val="00245784"/>
    <w:rsid w:val="002E2170"/>
    <w:rsid w:val="002F3CAF"/>
    <w:rsid w:val="0030622B"/>
    <w:rsid w:val="00322039"/>
    <w:rsid w:val="0033349D"/>
    <w:rsid w:val="0035295D"/>
    <w:rsid w:val="00365F15"/>
    <w:rsid w:val="00371403"/>
    <w:rsid w:val="003863CD"/>
    <w:rsid w:val="003D5457"/>
    <w:rsid w:val="003F2845"/>
    <w:rsid w:val="00400665"/>
    <w:rsid w:val="00406128"/>
    <w:rsid w:val="0041017B"/>
    <w:rsid w:val="004A764F"/>
    <w:rsid w:val="004B5DE0"/>
    <w:rsid w:val="004D71FD"/>
    <w:rsid w:val="00573450"/>
    <w:rsid w:val="00574803"/>
    <w:rsid w:val="005B0753"/>
    <w:rsid w:val="005B4532"/>
    <w:rsid w:val="005B709B"/>
    <w:rsid w:val="005F1C9E"/>
    <w:rsid w:val="006101B3"/>
    <w:rsid w:val="00614E22"/>
    <w:rsid w:val="006624E8"/>
    <w:rsid w:val="00665A83"/>
    <w:rsid w:val="006A6931"/>
    <w:rsid w:val="006C2A16"/>
    <w:rsid w:val="006C68BD"/>
    <w:rsid w:val="006F4065"/>
    <w:rsid w:val="0071584D"/>
    <w:rsid w:val="00774E3B"/>
    <w:rsid w:val="007C5196"/>
    <w:rsid w:val="007D2A0E"/>
    <w:rsid w:val="00821769"/>
    <w:rsid w:val="008354FE"/>
    <w:rsid w:val="008760DC"/>
    <w:rsid w:val="008930DB"/>
    <w:rsid w:val="008B2584"/>
    <w:rsid w:val="008C3AEF"/>
    <w:rsid w:val="008E1BFC"/>
    <w:rsid w:val="009154CF"/>
    <w:rsid w:val="00934A24"/>
    <w:rsid w:val="00946CE4"/>
    <w:rsid w:val="00951397"/>
    <w:rsid w:val="0099364C"/>
    <w:rsid w:val="009B4A11"/>
    <w:rsid w:val="009F0899"/>
    <w:rsid w:val="00A67C61"/>
    <w:rsid w:val="00A96AD2"/>
    <w:rsid w:val="00AA1A69"/>
    <w:rsid w:val="00AB5FA5"/>
    <w:rsid w:val="00AD2844"/>
    <w:rsid w:val="00AF582F"/>
    <w:rsid w:val="00B2498A"/>
    <w:rsid w:val="00B27666"/>
    <w:rsid w:val="00B37B7D"/>
    <w:rsid w:val="00B66C58"/>
    <w:rsid w:val="00B82FBA"/>
    <w:rsid w:val="00BB49EA"/>
    <w:rsid w:val="00BC0197"/>
    <w:rsid w:val="00BE4F21"/>
    <w:rsid w:val="00C12998"/>
    <w:rsid w:val="00C734B8"/>
    <w:rsid w:val="00C87C4F"/>
    <w:rsid w:val="00CC4F0D"/>
    <w:rsid w:val="00D01318"/>
    <w:rsid w:val="00D914C9"/>
    <w:rsid w:val="00DC0F2E"/>
    <w:rsid w:val="00DE6655"/>
    <w:rsid w:val="00E57166"/>
    <w:rsid w:val="00E87876"/>
    <w:rsid w:val="00ED0FC7"/>
    <w:rsid w:val="00EE5EFF"/>
    <w:rsid w:val="00EE6A22"/>
    <w:rsid w:val="00EE7AF8"/>
    <w:rsid w:val="00F33039"/>
    <w:rsid w:val="00F81557"/>
    <w:rsid w:val="00F859CD"/>
    <w:rsid w:val="00FB2DDE"/>
    <w:rsid w:val="01484FA4"/>
    <w:rsid w:val="01BB7564"/>
    <w:rsid w:val="0B1B2838"/>
    <w:rsid w:val="0BEB2B5C"/>
    <w:rsid w:val="17D77CFD"/>
    <w:rsid w:val="195B0AE7"/>
    <w:rsid w:val="1FE21EC2"/>
    <w:rsid w:val="22014F16"/>
    <w:rsid w:val="3AE77198"/>
    <w:rsid w:val="3C4562A2"/>
    <w:rsid w:val="3CA23BE0"/>
    <w:rsid w:val="485F683A"/>
    <w:rsid w:val="4CB07728"/>
    <w:rsid w:val="59867E20"/>
    <w:rsid w:val="5ECC21A4"/>
    <w:rsid w:val="61F1119D"/>
    <w:rsid w:val="6A662934"/>
    <w:rsid w:val="6E841DDA"/>
    <w:rsid w:val="72BB4347"/>
    <w:rsid w:val="756C0D83"/>
    <w:rsid w:val="77FB9873"/>
    <w:rsid w:val="7A7D995A"/>
    <w:rsid w:val="7BB17F1F"/>
    <w:rsid w:val="7D5FF3A2"/>
    <w:rsid w:val="996F1C55"/>
    <w:rsid w:val="BFFF6E95"/>
    <w:rsid w:val="CDBF518A"/>
    <w:rsid w:val="EDE97A0E"/>
    <w:rsid w:val="FBD89F75"/>
    <w:rsid w:val="FBDEBC24"/>
    <w:rsid w:val="FFBFCE0A"/>
    <w:rsid w:val="FFF59F9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22"/>
    <w:rPr>
      <w:b/>
      <w:bCs/>
    </w:rPr>
  </w:style>
  <w:style w:type="character" w:customStyle="1" w:styleId="7">
    <w:name w:val="页眉 Char"/>
    <w:basedOn w:val="5"/>
    <w:link w:val="3"/>
    <w:qFormat/>
    <w:uiPriority w:val="0"/>
    <w:rPr>
      <w:kern w:val="2"/>
      <w:sz w:val="18"/>
      <w:szCs w:val="18"/>
    </w:rPr>
  </w:style>
  <w:style w:type="character" w:customStyle="1" w:styleId="8">
    <w:name w:val="页脚 Char"/>
    <w:basedOn w:val="5"/>
    <w:link w:val="2"/>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158</Words>
  <Characters>907</Characters>
  <Lines>7</Lines>
  <Paragraphs>2</Paragraphs>
  <TotalTime>66</TotalTime>
  <ScaleCrop>false</ScaleCrop>
  <LinksUpToDate>false</LinksUpToDate>
  <CharactersWithSpaces>1063</CharactersWithSpaces>
  <Application>WPS Office_11.8.2.10533_F1E327BC-269C-435d-A152-05C5408002CA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2020-04-14T22:50:00Z</dcterms:created>
  <dc:creator>Administrator</dc:creator>
  <cp:lastModifiedBy>user</cp:lastModifiedBy>
  <dcterms:modified xsi:type="dcterms:W3CDTF">2023-08-02T16:22:45Z</dcterms:modified>
  <cp:revision>105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2052-11.8.2.10533</vt:lpwstr>
  </property>
  <property fmtid="{D5CDD505-2E9C-101B-9397-08002B2CF9AE}" pid="3" name="ICV">
    <vt:lpwstr>4B89F175EE464431975CD4566C46BCE8</vt:lpwstr>
  </property>
</Properties>
</file>