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 w:hAnsi="仿宋" w:eastAsia="仿宋" w:cs="仿宋"/>
          <w:b/>
          <w:bCs/>
          <w:color w:val="000000"/>
          <w:sz w:val="32"/>
          <w:szCs w:val="32"/>
        </w:rPr>
      </w:pPr>
      <w:r>
        <w:rPr>
          <w:rFonts w:hint="eastAsia" w:ascii="仿宋" w:hAnsi="仿宋" w:eastAsia="仿宋" w:cs="仿宋"/>
          <w:b/>
          <w:bCs/>
          <w:color w:val="000000"/>
          <w:sz w:val="32"/>
          <w:szCs w:val="32"/>
        </w:rPr>
        <w:t>长春市2023年合成树脂乳液内墙涂料（面漆）</w:t>
      </w:r>
    </w:p>
    <w:p>
      <w:pPr>
        <w:snapToGrid w:val="0"/>
        <w:spacing w:line="360" w:lineRule="auto"/>
        <w:jc w:val="center"/>
        <w:rPr>
          <w:rFonts w:ascii="仿宋" w:hAnsi="仿宋" w:eastAsia="仿宋" w:cs="仿宋"/>
          <w:b/>
          <w:bCs/>
          <w:color w:val="000000"/>
          <w:sz w:val="32"/>
          <w:szCs w:val="32"/>
        </w:rPr>
      </w:pPr>
      <w:bookmarkStart w:id="0" w:name="_GoBack"/>
      <w:bookmarkEnd w:id="0"/>
      <w:r>
        <w:rPr>
          <w:rFonts w:hint="eastAsia" w:ascii="仿宋" w:hAnsi="仿宋" w:eastAsia="仿宋" w:cs="仿宋"/>
          <w:b/>
          <w:bCs/>
          <w:color w:val="000000"/>
          <w:sz w:val="32"/>
          <w:szCs w:val="32"/>
        </w:rPr>
        <w:t>产品质量监督抽查实施细则</w:t>
      </w:r>
    </w:p>
    <w:p>
      <w:pPr>
        <w:widowControl/>
        <w:jc w:val="left"/>
        <w:rPr>
          <w:rFonts w:ascii="仿宋" w:hAnsi="仿宋" w:eastAsia="仿宋" w:cs="仿宋"/>
          <w:b/>
          <w:bCs/>
          <w:color w:val="000000"/>
          <w:spacing w:val="-10"/>
          <w:sz w:val="28"/>
          <w:szCs w:val="28"/>
        </w:rPr>
      </w:pPr>
      <w:r>
        <w:rPr>
          <w:rFonts w:hint="eastAsia" w:ascii="仿宋" w:hAnsi="仿宋" w:eastAsia="仿宋" w:cs="仿宋"/>
          <w:b/>
          <w:bCs/>
          <w:color w:val="000000"/>
          <w:spacing w:val="-10"/>
          <w:sz w:val="28"/>
          <w:szCs w:val="28"/>
        </w:rPr>
        <w:t>1 抽样方法</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1.1抽样型号或规格</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抽取产品应为同一类别、同一规格的产品，优先抽取主导产品。</w:t>
      </w:r>
    </w:p>
    <w:p>
      <w:pPr>
        <w:widowControl/>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1.2抽样方法、基数及数量</w:t>
      </w:r>
    </w:p>
    <w:p>
      <w:pPr>
        <w:spacing w:line="300" w:lineRule="auto"/>
        <w:ind w:firstLine="520" w:firstLineChars="200"/>
        <w:rPr>
          <w:rFonts w:ascii="仿宋" w:hAnsi="仿宋" w:eastAsia="仿宋" w:cs="宋体"/>
          <w:color w:val="000000"/>
          <w:sz w:val="28"/>
          <w:szCs w:val="28"/>
        </w:rPr>
      </w:pPr>
      <w:r>
        <w:rPr>
          <w:rFonts w:hint="eastAsia" w:ascii="仿宋" w:hAnsi="仿宋" w:eastAsia="仿宋" w:cs="仿宋"/>
          <w:color w:val="000000"/>
          <w:spacing w:val="-10"/>
          <w:sz w:val="28"/>
          <w:szCs w:val="28"/>
        </w:rPr>
        <w:t>1.2.1以随机抽样的方式(掷色子、扑克</w:t>
      </w:r>
      <w:r>
        <w:rPr>
          <w:rFonts w:hint="eastAsia" w:ascii="仿宋" w:hAnsi="仿宋" w:eastAsia="仿宋" w:cs="仿宋"/>
          <w:color w:val="000000"/>
          <w:spacing w:val="-10"/>
          <w:sz w:val="28"/>
          <w:szCs w:val="28"/>
          <w:lang w:eastAsia="zh-CN"/>
        </w:rPr>
        <w:t>牌法</w:t>
      </w:r>
      <w:r>
        <w:rPr>
          <w:rFonts w:hint="eastAsia" w:ascii="仿宋" w:hAnsi="仿宋" w:eastAsia="仿宋" w:cs="仿宋"/>
          <w:color w:val="000000"/>
          <w:spacing w:val="-10"/>
          <w:sz w:val="28"/>
          <w:szCs w:val="28"/>
        </w:rPr>
        <w:t>等)在被抽样生产者</w:t>
      </w:r>
      <w:r>
        <w:rPr>
          <w:rFonts w:hint="eastAsia" w:ascii="仿宋" w:hAnsi="仿宋" w:eastAsia="仿宋" w:cs="仿宋"/>
          <w:color w:val="000000"/>
          <w:spacing w:val="-10"/>
          <w:sz w:val="28"/>
          <w:szCs w:val="28"/>
          <w:lang w:eastAsia="zh-CN"/>
        </w:rPr>
        <w:t>、销售</w:t>
      </w:r>
      <w:r>
        <w:rPr>
          <w:rFonts w:hint="eastAsia" w:ascii="仿宋" w:hAnsi="仿宋" w:eastAsia="仿宋" w:cs="仿宋"/>
          <w:color w:val="000000"/>
          <w:spacing w:val="-10"/>
          <w:sz w:val="28"/>
          <w:szCs w:val="28"/>
        </w:rPr>
        <w:t>者的代销产品中抽取</w:t>
      </w:r>
      <w:r>
        <w:rPr>
          <w:rFonts w:hint="eastAsia" w:ascii="仿宋" w:hAnsi="仿宋" w:eastAsia="仿宋" w:cs="Arial"/>
          <w:sz w:val="28"/>
          <w:szCs w:val="28"/>
        </w:rPr>
        <w:t>。</w:t>
      </w:r>
    </w:p>
    <w:p>
      <w:pPr>
        <w:ind w:firstLine="520" w:firstLineChars="200"/>
        <w:jc w:val="left"/>
        <w:rPr>
          <w:rFonts w:hint="eastAsia" w:ascii="仿宋" w:hAnsi="仿宋" w:eastAsia="仿宋" w:cs="Arial"/>
          <w:sz w:val="28"/>
          <w:szCs w:val="28"/>
        </w:rPr>
      </w:pPr>
      <w:r>
        <w:rPr>
          <w:rFonts w:hint="eastAsia" w:ascii="仿宋" w:hAnsi="仿宋" w:eastAsia="仿宋" w:cs="仿宋"/>
          <w:color w:val="000000"/>
          <w:spacing w:val="-10"/>
          <w:sz w:val="28"/>
          <w:szCs w:val="28"/>
        </w:rPr>
        <w:t>1.2.2在被抽样生产者、销售者的代销产品中抽样时，</w:t>
      </w:r>
      <w:r>
        <w:rPr>
          <w:rFonts w:hint="eastAsia" w:ascii="仿宋" w:hAnsi="仿宋" w:eastAsia="仿宋" w:cs="Arial"/>
          <w:sz w:val="28"/>
          <w:szCs w:val="28"/>
        </w:rPr>
        <w:t>每个批次抽取2个完整包装桶（且不少于5kg/桶），其中1桶作检验样品，另1桶为备用样品。</w:t>
      </w:r>
    </w:p>
    <w:p>
      <w:pPr>
        <w:ind w:firstLine="520" w:firstLineChars="200"/>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1.2.3抽样基数满足抽样数量即可。</w:t>
      </w:r>
    </w:p>
    <w:p>
      <w:pPr>
        <w:widowControl/>
        <w:jc w:val="left"/>
        <w:rPr>
          <w:rFonts w:ascii="仿宋" w:hAnsi="仿宋" w:eastAsia="仿宋" w:cs="仿宋"/>
          <w:color w:val="000000"/>
          <w:spacing w:val="-10"/>
          <w:sz w:val="28"/>
          <w:szCs w:val="28"/>
        </w:rPr>
      </w:pPr>
    </w:p>
    <w:p>
      <w:pPr>
        <w:widowControl/>
        <w:jc w:val="left"/>
        <w:rPr>
          <w:rFonts w:hint="eastAsia" w:ascii="仿宋" w:hAnsi="仿宋" w:eastAsia="仿宋" w:cs="仿宋"/>
          <w:color w:val="000000"/>
          <w:spacing w:val="-10"/>
          <w:sz w:val="28"/>
          <w:szCs w:val="28"/>
          <w:lang w:eastAsia="zh-CN"/>
        </w:rPr>
      </w:pPr>
      <w:r>
        <w:rPr>
          <w:rFonts w:hint="eastAsia" w:ascii="仿宋" w:hAnsi="仿宋" w:eastAsia="仿宋" w:cs="仿宋"/>
          <w:b/>
          <w:bCs/>
          <w:color w:val="000000"/>
          <w:spacing w:val="-10"/>
          <w:sz w:val="28"/>
          <w:szCs w:val="28"/>
        </w:rPr>
        <w:t>2 检验</w:t>
      </w:r>
      <w:r>
        <w:rPr>
          <w:rFonts w:hint="eastAsia" w:ascii="仿宋" w:hAnsi="仿宋" w:eastAsia="仿宋" w:cs="仿宋"/>
          <w:b/>
          <w:bCs/>
          <w:color w:val="000000"/>
          <w:spacing w:val="-10"/>
          <w:sz w:val="28"/>
          <w:szCs w:val="28"/>
          <w:lang w:eastAsia="zh-CN"/>
        </w:rPr>
        <w:t>依据</w:t>
      </w:r>
    </w:p>
    <w:p>
      <w:pPr>
        <w:spacing w:line="300" w:lineRule="auto"/>
        <w:jc w:val="center"/>
        <w:rPr>
          <w:rFonts w:ascii="仿宋" w:hAnsi="仿宋" w:eastAsia="仿宋" w:cs="仿宋"/>
          <w:sz w:val="28"/>
          <w:szCs w:val="28"/>
        </w:rPr>
      </w:pPr>
      <w:r>
        <w:rPr>
          <w:rFonts w:hint="eastAsia" w:ascii="仿宋" w:hAnsi="仿宋" w:eastAsia="仿宋" w:cs="仿宋"/>
          <w:sz w:val="28"/>
          <w:szCs w:val="28"/>
        </w:rPr>
        <w:t>表1 合成树脂乳液内墙涂料（面漆）检验项目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2868"/>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47"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序号</w:t>
            </w:r>
          </w:p>
        </w:tc>
        <w:tc>
          <w:tcPr>
            <w:tcW w:w="2868"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检验项目</w:t>
            </w:r>
          </w:p>
        </w:tc>
        <w:tc>
          <w:tcPr>
            <w:tcW w:w="2237" w:type="dxa"/>
            <w:vMerge w:val="restart"/>
            <w:vAlign w:val="center"/>
          </w:tcPr>
          <w:p>
            <w:pPr>
              <w:snapToGrid w:val="0"/>
              <w:jc w:val="center"/>
              <w:rPr>
                <w:rFonts w:ascii="仿宋" w:hAnsi="仿宋" w:eastAsia="仿宋"/>
                <w:sz w:val="28"/>
                <w:szCs w:val="28"/>
              </w:rPr>
            </w:pPr>
            <w:r>
              <w:rPr>
                <w:rFonts w:hint="eastAsia" w:ascii="仿宋" w:hAnsi="仿宋" w:eastAsia="仿宋"/>
                <w:sz w:val="28"/>
                <w:szCs w:val="28"/>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jc w:val="center"/>
        </w:trPr>
        <w:tc>
          <w:tcPr>
            <w:tcW w:w="847" w:type="dxa"/>
            <w:vMerge w:val="continue"/>
            <w:vAlign w:val="center"/>
          </w:tcPr>
          <w:p>
            <w:pPr>
              <w:snapToGrid w:val="0"/>
              <w:ind w:firstLine="420"/>
              <w:jc w:val="center"/>
              <w:rPr>
                <w:rFonts w:ascii="仿宋" w:hAnsi="仿宋" w:eastAsia="仿宋"/>
                <w:sz w:val="28"/>
                <w:szCs w:val="28"/>
              </w:rPr>
            </w:pPr>
          </w:p>
        </w:tc>
        <w:tc>
          <w:tcPr>
            <w:tcW w:w="2868" w:type="dxa"/>
            <w:vMerge w:val="continue"/>
            <w:vAlign w:val="center"/>
          </w:tcPr>
          <w:p>
            <w:pPr>
              <w:snapToGrid w:val="0"/>
              <w:ind w:firstLine="420"/>
              <w:jc w:val="center"/>
              <w:rPr>
                <w:rFonts w:ascii="仿宋" w:hAnsi="仿宋" w:eastAsia="仿宋"/>
                <w:sz w:val="28"/>
                <w:szCs w:val="28"/>
              </w:rPr>
            </w:pPr>
          </w:p>
        </w:tc>
        <w:tc>
          <w:tcPr>
            <w:tcW w:w="2237" w:type="dxa"/>
            <w:vMerge w:val="continue"/>
            <w:vAlign w:val="center"/>
          </w:tcPr>
          <w:p>
            <w:pPr>
              <w:snapToGrid w:val="0"/>
              <w:ind w:firstLine="420"/>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1</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对比率</w:t>
            </w:r>
          </w:p>
        </w:tc>
        <w:tc>
          <w:tcPr>
            <w:tcW w:w="223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GB/T23981-2009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2</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耐碱性（24h）</w:t>
            </w:r>
          </w:p>
        </w:tc>
        <w:tc>
          <w:tcPr>
            <w:tcW w:w="223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GB/T9265-2009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3</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耐洗刷性</w:t>
            </w:r>
          </w:p>
        </w:tc>
        <w:tc>
          <w:tcPr>
            <w:tcW w:w="223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GB/T9266-2009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4</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挥发性有机化合物（VOC）含量</w:t>
            </w:r>
          </w:p>
        </w:tc>
        <w:tc>
          <w:tcPr>
            <w:tcW w:w="2237" w:type="dxa"/>
            <w:vAlign w:val="center"/>
          </w:tcPr>
          <w:p>
            <w:pPr>
              <w:spacing w:line="360" w:lineRule="auto"/>
              <w:jc w:val="center"/>
              <w:rPr>
                <w:rFonts w:ascii="仿宋" w:hAnsi="仿宋" w:eastAsia="仿宋" w:cs="方正仿宋简体"/>
                <w:sz w:val="28"/>
                <w:szCs w:val="28"/>
              </w:rPr>
            </w:pPr>
            <w:r>
              <w:rPr>
                <w:rFonts w:ascii="仿宋" w:hAnsi="仿宋" w:eastAsia="仿宋" w:cs="方正仿宋简体"/>
                <w:sz w:val="28"/>
                <w:szCs w:val="28"/>
              </w:rPr>
              <w:t>GB</w:t>
            </w:r>
            <w:r>
              <w:rPr>
                <w:rFonts w:hint="eastAsia" w:ascii="仿宋" w:hAnsi="仿宋" w:eastAsia="仿宋" w:cs="方正仿宋简体"/>
                <w:sz w:val="28"/>
                <w:szCs w:val="28"/>
              </w:rPr>
              <w:t>/T23986-2009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5</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苯、甲苯、乙苯、二甲苯总和含量</w:t>
            </w:r>
          </w:p>
        </w:tc>
        <w:tc>
          <w:tcPr>
            <w:tcW w:w="2237" w:type="dxa"/>
            <w:vAlign w:val="center"/>
          </w:tcPr>
          <w:p>
            <w:pPr>
              <w:spacing w:line="360" w:lineRule="auto"/>
              <w:jc w:val="center"/>
              <w:rPr>
                <w:rFonts w:ascii="仿宋" w:hAnsi="仿宋" w:eastAsia="仿宋" w:cs="方正仿宋简体"/>
                <w:sz w:val="28"/>
                <w:szCs w:val="28"/>
              </w:rPr>
            </w:pPr>
            <w:r>
              <w:rPr>
                <w:rFonts w:ascii="仿宋" w:hAnsi="仿宋" w:eastAsia="仿宋" w:cs="方正仿宋简体"/>
                <w:sz w:val="28"/>
                <w:szCs w:val="28"/>
              </w:rPr>
              <w:t>GB</w:t>
            </w:r>
            <w:r>
              <w:rPr>
                <w:rFonts w:hint="eastAsia" w:ascii="仿宋" w:hAnsi="仿宋" w:eastAsia="仿宋" w:cs="方正仿宋简体"/>
                <w:sz w:val="28"/>
                <w:szCs w:val="28"/>
              </w:rPr>
              <w:t>/T23990-2009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6</w:t>
            </w:r>
          </w:p>
        </w:tc>
        <w:tc>
          <w:tcPr>
            <w:tcW w:w="2868" w:type="dxa"/>
            <w:vAlign w:val="center"/>
          </w:tcPr>
          <w:p>
            <w:pPr>
              <w:spacing w:line="360" w:lineRule="auto"/>
              <w:jc w:val="center"/>
              <w:rPr>
                <w:rFonts w:ascii="仿宋" w:hAnsi="仿宋" w:eastAsia="仿宋" w:cs="Arial"/>
                <w:sz w:val="28"/>
                <w:szCs w:val="28"/>
              </w:rPr>
            </w:pPr>
            <w:r>
              <w:rPr>
                <w:rFonts w:hint="eastAsia" w:ascii="仿宋" w:hAnsi="仿宋" w:eastAsia="仿宋" w:cs="Arial"/>
                <w:sz w:val="28"/>
                <w:szCs w:val="28"/>
              </w:rPr>
              <w:t>甲醛含量</w:t>
            </w:r>
          </w:p>
        </w:tc>
        <w:tc>
          <w:tcPr>
            <w:tcW w:w="2237" w:type="dxa"/>
            <w:vAlign w:val="center"/>
          </w:tcPr>
          <w:p>
            <w:pPr>
              <w:spacing w:line="360" w:lineRule="auto"/>
              <w:jc w:val="center"/>
              <w:rPr>
                <w:rFonts w:ascii="仿宋" w:hAnsi="仿宋" w:eastAsia="仿宋" w:cs="方正仿宋简体"/>
                <w:sz w:val="28"/>
                <w:szCs w:val="28"/>
              </w:rPr>
            </w:pPr>
            <w:r>
              <w:rPr>
                <w:rFonts w:hint="eastAsia" w:ascii="仿宋" w:hAnsi="仿宋" w:eastAsia="仿宋" w:cs="方正仿宋简体"/>
                <w:sz w:val="28"/>
                <w:szCs w:val="28"/>
              </w:rPr>
              <w:t>GB/T23993-2009</w:t>
            </w:r>
          </w:p>
        </w:tc>
      </w:tr>
    </w:tbl>
    <w:p>
      <w:pPr>
        <w:snapToGrid w:val="0"/>
        <w:spacing w:line="440" w:lineRule="exact"/>
        <w:rPr>
          <w:rFonts w:ascii="仿宋" w:hAnsi="仿宋" w:eastAsia="仿宋" w:cs="仿宋"/>
          <w:color w:val="000000"/>
          <w:spacing w:val="-10"/>
          <w:sz w:val="28"/>
          <w:szCs w:val="28"/>
        </w:rPr>
      </w:pPr>
      <w:r>
        <w:rPr>
          <w:rFonts w:hint="eastAsia" w:ascii="仿宋" w:hAnsi="仿宋" w:eastAsia="仿宋"/>
          <w:sz w:val="28"/>
          <w:szCs w:val="28"/>
        </w:rPr>
        <w:t>注：</w:t>
      </w:r>
      <w:r>
        <w:rPr>
          <w:rFonts w:hint="eastAsia" w:ascii="仿宋" w:hAnsi="仿宋" w:eastAsia="仿宋" w:cs="仿宋"/>
          <w:color w:val="000000"/>
          <w:spacing w:val="-10"/>
          <w:sz w:val="28"/>
          <w:szCs w:val="28"/>
        </w:rPr>
        <w:t>凡是注日期的文件，其随后所有的修改单（不包括勘误的内容）或修订版不适用于本细则。凡是不注日期的文件，其最新版本适用于本细则。</w:t>
      </w:r>
    </w:p>
    <w:p>
      <w:pPr>
        <w:widowControl/>
        <w:jc w:val="left"/>
        <w:rPr>
          <w:rFonts w:ascii="仿宋" w:hAnsi="仿宋" w:eastAsia="仿宋" w:cs="仿宋"/>
          <w:color w:val="000000"/>
          <w:spacing w:val="-10"/>
          <w:sz w:val="28"/>
          <w:szCs w:val="28"/>
        </w:rPr>
      </w:pPr>
      <w:r>
        <w:rPr>
          <w:rFonts w:hint="eastAsia" w:ascii="仿宋" w:hAnsi="仿宋" w:eastAsia="仿宋" w:cs="仿宋"/>
          <w:b/>
          <w:bCs/>
          <w:color w:val="000000"/>
          <w:spacing w:val="-10"/>
          <w:sz w:val="28"/>
          <w:szCs w:val="28"/>
        </w:rPr>
        <w:t>3 判定规则</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3.1依据标准</w:t>
      </w:r>
    </w:p>
    <w:p>
      <w:pPr>
        <w:snapToGrid w:val="0"/>
        <w:spacing w:line="440" w:lineRule="exact"/>
        <w:ind w:firstLine="560" w:firstLineChars="200"/>
        <w:rPr>
          <w:rFonts w:ascii="仿宋" w:hAnsi="仿宋" w:eastAsia="仿宋" w:cs="方正仿宋简体"/>
          <w:color w:val="000000"/>
          <w:sz w:val="28"/>
          <w:szCs w:val="28"/>
        </w:rPr>
      </w:pPr>
      <w:r>
        <w:rPr>
          <w:rFonts w:hint="eastAsia" w:ascii="仿宋" w:hAnsi="仿宋" w:eastAsia="仿宋" w:cs="方正仿宋简体"/>
          <w:color w:val="000000"/>
          <w:sz w:val="28"/>
          <w:szCs w:val="28"/>
        </w:rPr>
        <w:t>GB/T9756-2018《合成树脂乳液内墙涂料》</w:t>
      </w:r>
    </w:p>
    <w:p>
      <w:pPr>
        <w:snapToGrid w:val="0"/>
        <w:spacing w:line="440" w:lineRule="exact"/>
        <w:ind w:firstLine="560" w:firstLineChars="200"/>
        <w:rPr>
          <w:rFonts w:ascii="仿宋" w:hAnsi="仿宋" w:eastAsia="仿宋" w:cs="方正仿宋简体"/>
          <w:sz w:val="28"/>
          <w:szCs w:val="28"/>
        </w:rPr>
      </w:pPr>
      <w:r>
        <w:rPr>
          <w:rFonts w:hint="eastAsia" w:ascii="仿宋" w:hAnsi="仿宋" w:eastAsia="仿宋" w:cs="Arial"/>
          <w:sz w:val="28"/>
          <w:szCs w:val="28"/>
        </w:rPr>
        <w:t>GB18582-2020 《</w:t>
      </w:r>
      <w:r>
        <w:rPr>
          <w:rFonts w:hint="eastAsia" w:ascii="仿宋" w:hAnsi="仿宋" w:eastAsia="仿宋" w:cs="仿宋"/>
          <w:sz w:val="28"/>
          <w:szCs w:val="28"/>
        </w:rPr>
        <w:t>建筑用墙面涂料中有害物质限量</w:t>
      </w:r>
      <w:r>
        <w:rPr>
          <w:rFonts w:hint="eastAsia" w:ascii="仿宋" w:hAnsi="仿宋" w:eastAsia="仿宋" w:cs="Arial"/>
          <w:sz w:val="28"/>
          <w:szCs w:val="28"/>
        </w:rPr>
        <w:t>》</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相关的法律、行政法规、部门规章、规范性文件</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现行有效的企业标准、团体标准、地方标准及产品明示质量要求</w:t>
      </w:r>
    </w:p>
    <w:p>
      <w:pPr>
        <w:widowControl/>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 xml:space="preserve"> </w:t>
      </w:r>
      <w:r>
        <w:rPr>
          <w:rFonts w:hint="eastAsia" w:ascii="仿宋" w:hAnsi="仿宋" w:eastAsia="仿宋" w:cs="仿宋"/>
          <w:color w:val="000000"/>
          <w:spacing w:val="-10"/>
          <w:sz w:val="28"/>
          <w:szCs w:val="28"/>
          <w:lang w:val="en-US" w:eastAsia="zh-CN"/>
        </w:rPr>
        <w:t xml:space="preserve">  </w:t>
      </w:r>
      <w:r>
        <w:rPr>
          <w:rFonts w:hint="eastAsia" w:ascii="仿宋" w:hAnsi="仿宋" w:eastAsia="仿宋" w:cs="仿宋"/>
          <w:color w:val="000000"/>
          <w:spacing w:val="-10"/>
          <w:sz w:val="28"/>
          <w:szCs w:val="28"/>
        </w:rPr>
        <w:t>3.2判定原则</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经检验，检验项目全部合格，判定为被抽查产品</w:t>
      </w:r>
      <w:r>
        <w:rPr>
          <w:rFonts w:hint="eastAsia" w:ascii="仿宋" w:hAnsi="仿宋" w:eastAsia="仿宋" w:cs="仿宋"/>
          <w:color w:val="auto"/>
          <w:spacing w:val="-10"/>
          <w:sz w:val="28"/>
          <w:szCs w:val="28"/>
        </w:rPr>
        <w:t>所检项目未发现不合格；</w:t>
      </w:r>
      <w:r>
        <w:rPr>
          <w:rFonts w:hint="eastAsia" w:ascii="仿宋" w:hAnsi="仿宋" w:eastAsia="仿宋" w:cs="仿宋"/>
          <w:color w:val="000000"/>
          <w:spacing w:val="-10"/>
          <w:sz w:val="28"/>
          <w:szCs w:val="28"/>
        </w:rPr>
        <w:t>检验项目中任一项或一项以上不合格，判定为被抽查产品不合格。</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若被检产品明示的质量要求高于本细则中检验项目依据的标准要求时，应按被检产品明示的质量要求判定。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若被检产品明示的质量要求低于本细则中检验项目依据的强制性标准要求时，应按照强制性标准要求判定。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若被检产品明示的质量要求低于或包含本细则中检验项目依据的推荐性标准要求时，应以被检产品明示的质量要求判定。</w:t>
      </w:r>
    </w:p>
    <w:p>
      <w:pPr>
        <w:widowControl/>
        <w:ind w:firstLine="465"/>
        <w:jc w:val="left"/>
        <w:rPr>
          <w:rFonts w:ascii="仿宋" w:hAnsi="仿宋" w:eastAsia="仿宋" w:cs="仿宋"/>
          <w:color w:val="000000"/>
          <w:spacing w:val="-10"/>
          <w:sz w:val="28"/>
          <w:szCs w:val="28"/>
        </w:rPr>
      </w:pPr>
      <w:r>
        <w:rPr>
          <w:rFonts w:hint="eastAsia" w:ascii="仿宋" w:hAnsi="仿宋" w:eastAsia="仿宋" w:cs="仿宋"/>
          <w:color w:val="000000"/>
          <w:spacing w:val="-10"/>
          <w:sz w:val="28"/>
          <w:szCs w:val="28"/>
        </w:rPr>
        <w:t>若被检产品明示的质量要求缺少本细则中检验项目依据的强制性标准要求时，应按照强制性标准要求判定。</w:t>
      </w:r>
    </w:p>
    <w:p>
      <w:pPr>
        <w:widowControl/>
        <w:ind w:firstLine="520" w:firstLineChars="200"/>
        <w:jc w:val="left"/>
        <w:rPr>
          <w:sz w:val="28"/>
          <w:szCs w:val="28"/>
        </w:rPr>
      </w:pPr>
      <w:r>
        <w:rPr>
          <w:rFonts w:hint="eastAsia" w:ascii="仿宋" w:hAnsi="仿宋" w:eastAsia="仿宋" w:cs="仿宋"/>
          <w:color w:val="000000"/>
          <w:spacing w:val="-10"/>
          <w:sz w:val="28"/>
          <w:szCs w:val="28"/>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mEzM2FjNmZlMDVlYzI3NTE0NjBjZmM3NmY4MjA1ZjUifQ=="/>
  </w:docVars>
  <w:rsids>
    <w:rsidRoot w:val="00DC0F2E"/>
    <w:rsid w:val="00014D9B"/>
    <w:rsid w:val="00026066"/>
    <w:rsid w:val="00037E25"/>
    <w:rsid w:val="00097BC8"/>
    <w:rsid w:val="001316CC"/>
    <w:rsid w:val="00160004"/>
    <w:rsid w:val="00183547"/>
    <w:rsid w:val="00186AF1"/>
    <w:rsid w:val="001C4251"/>
    <w:rsid w:val="00245784"/>
    <w:rsid w:val="00273DDF"/>
    <w:rsid w:val="002910B4"/>
    <w:rsid w:val="002F3CAF"/>
    <w:rsid w:val="0030622B"/>
    <w:rsid w:val="00322039"/>
    <w:rsid w:val="0033349D"/>
    <w:rsid w:val="0035295D"/>
    <w:rsid w:val="00365F15"/>
    <w:rsid w:val="003863CD"/>
    <w:rsid w:val="00406128"/>
    <w:rsid w:val="0041017B"/>
    <w:rsid w:val="00450FF6"/>
    <w:rsid w:val="004A764F"/>
    <w:rsid w:val="004D71FD"/>
    <w:rsid w:val="00574803"/>
    <w:rsid w:val="005B0753"/>
    <w:rsid w:val="005B709B"/>
    <w:rsid w:val="005F1C9E"/>
    <w:rsid w:val="006101B3"/>
    <w:rsid w:val="006624E8"/>
    <w:rsid w:val="006A6931"/>
    <w:rsid w:val="006C68BD"/>
    <w:rsid w:val="006F4065"/>
    <w:rsid w:val="00821769"/>
    <w:rsid w:val="008760DC"/>
    <w:rsid w:val="008C3AEF"/>
    <w:rsid w:val="008E1BFC"/>
    <w:rsid w:val="00934A24"/>
    <w:rsid w:val="0099364C"/>
    <w:rsid w:val="009B4A11"/>
    <w:rsid w:val="00A65C32"/>
    <w:rsid w:val="00A96AD2"/>
    <w:rsid w:val="00AA1A69"/>
    <w:rsid w:val="00AB5FA5"/>
    <w:rsid w:val="00AD2844"/>
    <w:rsid w:val="00AE0EFA"/>
    <w:rsid w:val="00AF582F"/>
    <w:rsid w:val="00B2498A"/>
    <w:rsid w:val="00B37B7D"/>
    <w:rsid w:val="00B46B77"/>
    <w:rsid w:val="00B77057"/>
    <w:rsid w:val="00BB49EA"/>
    <w:rsid w:val="00BC0197"/>
    <w:rsid w:val="00C448F3"/>
    <w:rsid w:val="00C734B8"/>
    <w:rsid w:val="00C87C4F"/>
    <w:rsid w:val="00CC4F0D"/>
    <w:rsid w:val="00CE6FD7"/>
    <w:rsid w:val="00D02C9D"/>
    <w:rsid w:val="00D914C9"/>
    <w:rsid w:val="00DC0F2E"/>
    <w:rsid w:val="00ED0FC7"/>
    <w:rsid w:val="00EE6A22"/>
    <w:rsid w:val="00EE7AF8"/>
    <w:rsid w:val="00F1514E"/>
    <w:rsid w:val="00F40CAA"/>
    <w:rsid w:val="00F81557"/>
    <w:rsid w:val="00FB2DDE"/>
    <w:rsid w:val="01484FA4"/>
    <w:rsid w:val="01BB7564"/>
    <w:rsid w:val="1BAFA72B"/>
    <w:rsid w:val="22014F16"/>
    <w:rsid w:val="3BA3F6FC"/>
    <w:rsid w:val="3C4562A2"/>
    <w:rsid w:val="3CA23BE0"/>
    <w:rsid w:val="3F7EC0B5"/>
    <w:rsid w:val="485F683A"/>
    <w:rsid w:val="59867E20"/>
    <w:rsid w:val="5FBDF3C3"/>
    <w:rsid w:val="61F1119D"/>
    <w:rsid w:val="6BFF518A"/>
    <w:rsid w:val="6E841DDA"/>
    <w:rsid w:val="72BB4347"/>
    <w:rsid w:val="756C0D83"/>
    <w:rsid w:val="7F7B570C"/>
    <w:rsid w:val="7FDD4F57"/>
    <w:rsid w:val="7FFFE897"/>
    <w:rsid w:val="AF75A493"/>
    <w:rsid w:val="EDBEC071"/>
    <w:rsid w:val="EF53A3C1"/>
    <w:rsid w:val="FB1E09F6"/>
    <w:rsid w:val="FBDF61D6"/>
    <w:rsid w:val="FDC5669F"/>
    <w:rsid w:val="FFEBDE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144</Words>
  <Characters>824</Characters>
  <Lines>6</Lines>
  <Paragraphs>1</Paragraphs>
  <TotalTime>31</TotalTime>
  <ScaleCrop>false</ScaleCrop>
  <LinksUpToDate>false</LinksUpToDate>
  <CharactersWithSpaces>967</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2020-04-15T06:50:00Z</dcterms:created>
  <dc:creator>Administrator</dc:creator>
  <cp:lastModifiedBy>user</cp:lastModifiedBy>
  <dcterms:modified xsi:type="dcterms:W3CDTF">2023-08-02T16:22:16Z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0741483AF815488F8440FEB1821F95D6</vt:lpwstr>
  </property>
</Properties>
</file>