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hint="eastAsia" w:ascii="仿宋" w:hAnsi="仿宋" w:eastAsia="仿宋" w:cs="宋体"/>
          <w:b/>
          <w:bCs/>
          <w:color w:val="000000"/>
          <w:sz w:val="32"/>
          <w:szCs w:val="32"/>
        </w:rPr>
      </w:pPr>
      <w:r>
        <w:rPr>
          <w:rFonts w:hint="eastAsia" w:ascii="仿宋" w:hAnsi="仿宋" w:eastAsia="仿宋" w:cs="仿宋"/>
          <w:b/>
          <w:bCs/>
          <w:color w:val="000000"/>
          <w:sz w:val="32"/>
          <w:szCs w:val="32"/>
        </w:rPr>
        <w:t>长春市</w:t>
      </w:r>
      <w:r>
        <w:rPr>
          <w:rFonts w:hint="eastAsia" w:ascii="仿宋" w:hAnsi="仿宋" w:eastAsia="仿宋" w:cs="仿宋"/>
          <w:b/>
          <w:bCs/>
          <w:color w:val="000000"/>
          <w:sz w:val="32"/>
          <w:szCs w:val="32"/>
          <w:lang w:val="en-US" w:eastAsia="zh-CN"/>
        </w:rPr>
        <w:t>2023年</w:t>
      </w:r>
      <w:r>
        <w:rPr>
          <w:rFonts w:hint="eastAsia" w:ascii="仿宋" w:hAnsi="仿宋" w:eastAsia="仿宋" w:cs="宋体"/>
          <w:b/>
          <w:bCs/>
          <w:color w:val="000000"/>
          <w:sz w:val="32"/>
          <w:szCs w:val="32"/>
        </w:rPr>
        <w:t>建筑排水用硬聚氯乙烯（PVC-U）管材</w:t>
      </w:r>
    </w:p>
    <w:p>
      <w:pPr>
        <w:spacing w:line="620" w:lineRule="exact"/>
        <w:jc w:val="center"/>
        <w:rPr>
          <w:rFonts w:ascii="仿宋" w:hAnsi="仿宋" w:eastAsia="仿宋" w:cs="宋体"/>
          <w:b/>
          <w:bCs/>
          <w:color w:val="000000"/>
          <w:sz w:val="32"/>
          <w:szCs w:val="32"/>
        </w:rPr>
      </w:pPr>
      <w:r>
        <w:rPr>
          <w:rFonts w:hint="eastAsia" w:ascii="仿宋" w:hAnsi="仿宋" w:eastAsia="仿宋" w:cs="仿宋"/>
          <w:b/>
          <w:bCs/>
          <w:color w:val="000000"/>
          <w:sz w:val="32"/>
          <w:szCs w:val="32"/>
        </w:rPr>
        <w:t>产品质量监督抽查实施细则</w:t>
      </w:r>
    </w:p>
    <w:p>
      <w:pPr>
        <w:widowControl/>
        <w:jc w:val="left"/>
        <w:rPr>
          <w:rFonts w:hint="eastAsia" w:ascii="仿宋" w:hAnsi="仿宋" w:eastAsia="仿宋" w:cs="仿宋"/>
          <w:color w:val="000000"/>
          <w:spacing w:val="-10"/>
          <w:sz w:val="28"/>
          <w:szCs w:val="28"/>
        </w:rPr>
      </w:pPr>
    </w:p>
    <w:p>
      <w:pPr>
        <w:widowControl/>
        <w:jc w:val="left"/>
        <w:rPr>
          <w:rFonts w:ascii="仿宋" w:hAnsi="仿宋" w:eastAsia="仿宋" w:cs="仿宋"/>
          <w:b/>
          <w:bCs/>
          <w:color w:val="000000"/>
          <w:spacing w:val="-10"/>
          <w:sz w:val="28"/>
          <w:szCs w:val="28"/>
        </w:rPr>
      </w:pPr>
      <w:r>
        <w:rPr>
          <w:rFonts w:hint="eastAsia" w:ascii="仿宋" w:hAnsi="仿宋" w:eastAsia="仿宋" w:cs="仿宋"/>
          <w:b/>
          <w:bCs/>
          <w:color w:val="000000"/>
          <w:spacing w:val="-10"/>
          <w:sz w:val="28"/>
          <w:szCs w:val="28"/>
        </w:rPr>
        <w:t>1 抽样方法</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1.1抽样型号或规格</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抽取产品应为同一类别、同一规格的产品，优先抽取主导产品。</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1.2抽样方法、基数及数量</w:t>
      </w:r>
    </w:p>
    <w:p>
      <w:pPr>
        <w:spacing w:line="300" w:lineRule="auto"/>
        <w:ind w:firstLine="520" w:firstLineChars="200"/>
        <w:rPr>
          <w:rFonts w:ascii="仿宋" w:hAnsi="仿宋" w:eastAsia="仿宋" w:cs="宋体"/>
          <w:color w:val="000000"/>
          <w:sz w:val="28"/>
          <w:szCs w:val="28"/>
        </w:rPr>
      </w:pPr>
      <w:r>
        <w:rPr>
          <w:rFonts w:hint="eastAsia" w:ascii="仿宋" w:hAnsi="仿宋" w:eastAsia="仿宋" w:cs="仿宋"/>
          <w:color w:val="000000"/>
          <w:spacing w:val="-10"/>
          <w:sz w:val="28"/>
          <w:szCs w:val="28"/>
        </w:rPr>
        <w:t>1.2.1以随机抽样的方式在被抽样生产者</w:t>
      </w:r>
      <w:r>
        <w:rPr>
          <w:rFonts w:hint="eastAsia" w:ascii="仿宋" w:hAnsi="仿宋" w:eastAsia="仿宋" w:cs="仿宋"/>
          <w:color w:val="000000"/>
          <w:spacing w:val="-10"/>
          <w:sz w:val="28"/>
          <w:szCs w:val="28"/>
          <w:lang w:eastAsia="zh-CN"/>
        </w:rPr>
        <w:t>、销售者</w:t>
      </w:r>
      <w:r>
        <w:rPr>
          <w:rFonts w:hint="eastAsia" w:ascii="仿宋" w:hAnsi="仿宋" w:eastAsia="仿宋" w:cs="仿宋"/>
          <w:color w:val="000000"/>
          <w:spacing w:val="-10"/>
          <w:sz w:val="28"/>
          <w:szCs w:val="28"/>
        </w:rPr>
        <w:t>的待销产品中抽取</w:t>
      </w:r>
      <w:r>
        <w:rPr>
          <w:rFonts w:hint="eastAsia" w:ascii="仿宋" w:hAnsi="仿宋" w:eastAsia="仿宋" w:cs="Arial"/>
          <w:sz w:val="28"/>
          <w:szCs w:val="28"/>
        </w:rPr>
        <w:t>。随机数一般可使用随机数表等方法产生。</w:t>
      </w:r>
      <w:bookmarkStart w:id="0" w:name="_GoBack"/>
      <w:bookmarkEnd w:id="0"/>
    </w:p>
    <w:p>
      <w:pPr>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1.2.2检验数量：</w:t>
      </w:r>
    </w:p>
    <w:p>
      <w:pPr>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a. 每根管材原始长度为4米/根时，在</w:t>
      </w:r>
      <w:r>
        <w:rPr>
          <w:rFonts w:hint="eastAsia" w:ascii="仿宋" w:hAnsi="仿宋" w:eastAsia="仿宋" w:cs="宋体"/>
          <w:color w:val="000000"/>
          <w:sz w:val="28"/>
          <w:szCs w:val="28"/>
        </w:rPr>
        <w:t>同一批次合格管材中抽取6根，每根截取4段，每段1m；每根中的2段作为检验用样品，2段作为备用样品（即检验用样品：1m/段×12段；备用样品：1m/段×12段）。</w:t>
      </w:r>
    </w:p>
    <w:p>
      <w:pPr>
        <w:ind w:firstLine="560" w:firstLineChars="200"/>
        <w:jc w:val="left"/>
        <w:rPr>
          <w:rFonts w:ascii="仿宋" w:hAnsi="仿宋" w:eastAsia="仿宋" w:cs="宋体"/>
          <w:color w:val="000000"/>
          <w:sz w:val="28"/>
          <w:szCs w:val="28"/>
        </w:rPr>
      </w:pPr>
      <w:r>
        <w:rPr>
          <w:rFonts w:hint="eastAsia" w:ascii="仿宋" w:hAnsi="仿宋" w:eastAsia="仿宋" w:cs="宋体"/>
          <w:color w:val="000000"/>
          <w:sz w:val="28"/>
          <w:szCs w:val="28"/>
        </w:rPr>
        <w:t>b.每根管材原始长度非4米/根时，保证抽样数量为24段（1m/段），其中12段作为检验用样品，12段作为备用样品，且保证在同一棺材上截取偶数段，一半为检验样品，另一半为备用样品。</w:t>
      </w:r>
    </w:p>
    <w:p>
      <w:pPr>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1.2.3抽样基数满足抽样数量即可。</w:t>
      </w:r>
    </w:p>
    <w:p>
      <w:pPr>
        <w:widowControl/>
        <w:jc w:val="left"/>
        <w:rPr>
          <w:rFonts w:hint="eastAsia" w:ascii="仿宋" w:hAnsi="仿宋" w:eastAsia="仿宋" w:cs="仿宋"/>
          <w:b/>
          <w:bCs/>
          <w:color w:val="000000"/>
          <w:spacing w:val="-10"/>
          <w:sz w:val="28"/>
          <w:szCs w:val="28"/>
          <w:lang w:eastAsia="zh-CN"/>
        </w:rPr>
      </w:pPr>
      <w:r>
        <w:rPr>
          <w:rFonts w:hint="eastAsia" w:ascii="仿宋" w:hAnsi="仿宋" w:eastAsia="仿宋" w:cs="仿宋"/>
          <w:b/>
          <w:bCs/>
          <w:color w:val="000000"/>
          <w:spacing w:val="-10"/>
          <w:sz w:val="28"/>
          <w:szCs w:val="28"/>
        </w:rPr>
        <w:t>2 检验</w:t>
      </w:r>
      <w:r>
        <w:rPr>
          <w:rFonts w:hint="eastAsia" w:ascii="仿宋" w:hAnsi="仿宋" w:eastAsia="仿宋" w:cs="仿宋"/>
          <w:b/>
          <w:bCs/>
          <w:color w:val="000000"/>
          <w:spacing w:val="-10"/>
          <w:sz w:val="28"/>
          <w:szCs w:val="28"/>
          <w:lang w:eastAsia="zh-CN"/>
        </w:rPr>
        <w:t>依据</w:t>
      </w:r>
    </w:p>
    <w:p>
      <w:pPr>
        <w:spacing w:line="300" w:lineRule="auto"/>
        <w:jc w:val="center"/>
        <w:rPr>
          <w:rFonts w:ascii="仿宋" w:hAnsi="仿宋" w:eastAsia="仿宋" w:cs="仿宋"/>
          <w:sz w:val="28"/>
          <w:szCs w:val="28"/>
        </w:rPr>
      </w:pPr>
      <w:r>
        <w:rPr>
          <w:rFonts w:hint="eastAsia" w:ascii="仿宋" w:hAnsi="仿宋" w:eastAsia="仿宋" w:cs="仿宋"/>
          <w:sz w:val="28"/>
          <w:szCs w:val="28"/>
        </w:rPr>
        <w:t>表1</w:t>
      </w:r>
      <w:r>
        <w:rPr>
          <w:rFonts w:hint="eastAsia" w:ascii="仿宋" w:hAnsi="仿宋" w:eastAsia="仿宋" w:cs="宋体"/>
          <w:color w:val="000000"/>
          <w:sz w:val="28"/>
          <w:szCs w:val="28"/>
        </w:rPr>
        <w:t xml:space="preserve">建筑排水用硬聚氯乙烯（PVC-U）管材 </w:t>
      </w:r>
      <w:r>
        <w:rPr>
          <w:rFonts w:hint="eastAsia" w:ascii="仿宋" w:hAnsi="仿宋" w:eastAsia="仿宋" w:cs="仿宋"/>
          <w:sz w:val="28"/>
          <w:szCs w:val="28"/>
        </w:rPr>
        <w:t>检验项目</w:t>
      </w:r>
    </w:p>
    <w:tbl>
      <w:tblPr>
        <w:tblStyle w:val="5"/>
        <w:tblW w:w="72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2912"/>
        <w:gridCol w:w="3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827" w:type="dxa"/>
            <w:vMerge w:val="restart"/>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 w:hAnsi="仿宋" w:eastAsia="仿宋" w:cs="仿宋"/>
                <w:sz w:val="28"/>
                <w:szCs w:val="28"/>
              </w:rPr>
            </w:pPr>
            <w:r>
              <w:rPr>
                <w:rFonts w:hint="eastAsia" w:ascii="仿宋" w:hAnsi="仿宋" w:eastAsia="仿宋" w:cs="仿宋"/>
                <w:sz w:val="28"/>
                <w:szCs w:val="28"/>
              </w:rPr>
              <w:t>序号</w:t>
            </w:r>
          </w:p>
        </w:tc>
        <w:tc>
          <w:tcPr>
            <w:tcW w:w="2912" w:type="dxa"/>
            <w:vMerge w:val="restart"/>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 w:hAnsi="仿宋" w:eastAsia="仿宋" w:cs="仿宋"/>
                <w:sz w:val="28"/>
                <w:szCs w:val="28"/>
              </w:rPr>
            </w:pPr>
            <w:r>
              <w:rPr>
                <w:rFonts w:hint="eastAsia" w:ascii="仿宋" w:hAnsi="仿宋" w:eastAsia="仿宋" w:cs="仿宋"/>
                <w:sz w:val="28"/>
                <w:szCs w:val="28"/>
              </w:rPr>
              <w:t>检验项目</w:t>
            </w:r>
          </w:p>
        </w:tc>
        <w:tc>
          <w:tcPr>
            <w:tcW w:w="3538" w:type="dxa"/>
            <w:vMerge w:val="restart"/>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仿宋" w:hAnsi="仿宋" w:eastAsia="仿宋" w:cs="仿宋"/>
                <w:sz w:val="28"/>
                <w:szCs w:val="28"/>
              </w:rPr>
            </w:pPr>
            <w:r>
              <w:rPr>
                <w:rFonts w:hint="eastAsia" w:ascii="仿宋" w:hAnsi="仿宋" w:eastAsia="仿宋" w:cs="仿宋"/>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827"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ascii="仿宋" w:hAnsi="仿宋" w:eastAsia="仿宋" w:cs="仿宋"/>
                <w:sz w:val="28"/>
                <w:szCs w:val="28"/>
              </w:rPr>
            </w:pPr>
          </w:p>
        </w:tc>
        <w:tc>
          <w:tcPr>
            <w:tcW w:w="2912"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center"/>
              <w:rPr>
                <w:rFonts w:ascii="仿宋" w:hAnsi="仿宋" w:eastAsia="仿宋" w:cs="仿宋"/>
                <w:sz w:val="28"/>
                <w:szCs w:val="28"/>
              </w:rPr>
            </w:pPr>
          </w:p>
        </w:tc>
        <w:tc>
          <w:tcPr>
            <w:tcW w:w="3538" w:type="dxa"/>
            <w:vMerge w:val="continue"/>
            <w:tcBorders>
              <w:top w:val="single" w:color="auto" w:sz="4" w:space="0"/>
              <w:left w:val="single" w:color="auto" w:sz="4" w:space="0"/>
              <w:bottom w:val="single" w:color="auto" w:sz="4" w:space="0"/>
              <w:right w:val="single" w:color="auto" w:sz="4" w:space="0"/>
            </w:tcBorders>
            <w:noWrap/>
            <w:vAlign w:val="center"/>
          </w:tcPr>
          <w:p>
            <w:pPr>
              <w:widowControl/>
              <w:spacing w:line="320" w:lineRule="exact"/>
              <w:jc w:val="left"/>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仿宋"/>
                <w:sz w:val="28"/>
                <w:szCs w:val="28"/>
              </w:rPr>
            </w:pPr>
            <w:r>
              <w:rPr>
                <w:rFonts w:hint="eastAsia" w:ascii="仿宋" w:hAnsi="仿宋" w:eastAsia="仿宋" w:cs="仿宋"/>
                <w:sz w:val="28"/>
                <w:szCs w:val="28"/>
              </w:rPr>
              <w:t>1</w:t>
            </w:r>
          </w:p>
        </w:tc>
        <w:tc>
          <w:tcPr>
            <w:tcW w:w="291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olor w:val="000000"/>
                <w:sz w:val="28"/>
                <w:szCs w:val="28"/>
              </w:rPr>
            </w:pPr>
            <w:r>
              <w:rPr>
                <w:rFonts w:hint="eastAsia" w:ascii="仿宋" w:hAnsi="仿宋" w:eastAsia="仿宋"/>
                <w:color w:val="000000"/>
                <w:sz w:val="28"/>
                <w:szCs w:val="28"/>
              </w:rPr>
              <w:t>规格尺寸</w:t>
            </w:r>
          </w:p>
          <w:p>
            <w:pPr>
              <w:jc w:val="center"/>
              <w:rPr>
                <w:rFonts w:ascii="仿宋" w:hAnsi="仿宋" w:eastAsia="仿宋"/>
                <w:color w:val="000000"/>
                <w:sz w:val="28"/>
                <w:szCs w:val="28"/>
              </w:rPr>
            </w:pPr>
            <w:r>
              <w:rPr>
                <w:rFonts w:hint="eastAsia" w:ascii="仿宋" w:hAnsi="仿宋" w:eastAsia="仿宋"/>
                <w:color w:val="000000"/>
                <w:sz w:val="28"/>
                <w:szCs w:val="28"/>
              </w:rPr>
              <w:t>（平均外径、壁厚）</w:t>
            </w:r>
          </w:p>
        </w:tc>
        <w:tc>
          <w:tcPr>
            <w:tcW w:w="353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olor w:val="000000"/>
                <w:sz w:val="28"/>
                <w:szCs w:val="28"/>
              </w:rPr>
            </w:pPr>
            <w:r>
              <w:rPr>
                <w:rFonts w:hint="eastAsia" w:ascii="仿宋" w:hAnsi="仿宋" w:eastAsia="仿宋"/>
                <w:color w:val="000000"/>
                <w:sz w:val="28"/>
                <w:szCs w:val="28"/>
              </w:rPr>
              <w:t>GB/T8806-2008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仿宋"/>
                <w:sz w:val="28"/>
                <w:szCs w:val="28"/>
              </w:rPr>
            </w:pPr>
            <w:r>
              <w:rPr>
                <w:rFonts w:hint="eastAsia" w:ascii="仿宋" w:hAnsi="仿宋" w:eastAsia="仿宋" w:cs="仿宋"/>
                <w:sz w:val="28"/>
                <w:szCs w:val="28"/>
              </w:rPr>
              <w:t>2</w:t>
            </w:r>
          </w:p>
        </w:tc>
        <w:tc>
          <w:tcPr>
            <w:tcW w:w="291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olor w:val="000000"/>
                <w:sz w:val="28"/>
                <w:szCs w:val="28"/>
              </w:rPr>
            </w:pPr>
            <w:r>
              <w:rPr>
                <w:rFonts w:ascii="仿宋" w:hAnsi="仿宋" w:eastAsia="仿宋"/>
                <w:color w:val="000000"/>
                <w:sz w:val="28"/>
                <w:szCs w:val="28"/>
              </w:rPr>
              <w:t>密度</w:t>
            </w:r>
          </w:p>
        </w:tc>
        <w:tc>
          <w:tcPr>
            <w:tcW w:w="353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olor w:val="000000"/>
                <w:sz w:val="28"/>
                <w:szCs w:val="28"/>
              </w:rPr>
            </w:pPr>
            <w:r>
              <w:rPr>
                <w:rFonts w:ascii="仿宋" w:hAnsi="仿宋" w:eastAsia="仿宋"/>
                <w:color w:val="000000"/>
                <w:sz w:val="28"/>
                <w:szCs w:val="28"/>
              </w:rPr>
              <w:t>GB/T 1033.1-2008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仿宋"/>
                <w:sz w:val="28"/>
                <w:szCs w:val="28"/>
              </w:rPr>
            </w:pPr>
            <w:r>
              <w:rPr>
                <w:rFonts w:hint="eastAsia" w:ascii="仿宋" w:hAnsi="仿宋" w:eastAsia="仿宋" w:cs="仿宋"/>
                <w:sz w:val="28"/>
                <w:szCs w:val="28"/>
              </w:rPr>
              <w:t>3</w:t>
            </w:r>
          </w:p>
        </w:tc>
        <w:tc>
          <w:tcPr>
            <w:tcW w:w="291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olor w:val="000000"/>
                <w:sz w:val="28"/>
                <w:szCs w:val="28"/>
              </w:rPr>
            </w:pPr>
            <w:r>
              <w:rPr>
                <w:rFonts w:ascii="仿宋" w:hAnsi="仿宋" w:eastAsia="仿宋"/>
                <w:color w:val="000000"/>
                <w:sz w:val="28"/>
                <w:szCs w:val="28"/>
              </w:rPr>
              <w:t>维卡软化温度</w:t>
            </w:r>
          </w:p>
        </w:tc>
        <w:tc>
          <w:tcPr>
            <w:tcW w:w="353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olor w:val="000000"/>
                <w:sz w:val="28"/>
                <w:szCs w:val="28"/>
              </w:rPr>
            </w:pPr>
            <w:r>
              <w:rPr>
                <w:rFonts w:ascii="仿宋" w:hAnsi="仿宋" w:eastAsia="仿宋"/>
                <w:color w:val="000000"/>
                <w:sz w:val="28"/>
                <w:szCs w:val="28"/>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仿宋"/>
                <w:sz w:val="28"/>
                <w:szCs w:val="28"/>
              </w:rPr>
            </w:pPr>
            <w:r>
              <w:rPr>
                <w:rFonts w:hint="eastAsia" w:ascii="仿宋" w:hAnsi="仿宋" w:eastAsia="仿宋" w:cs="仿宋"/>
                <w:sz w:val="28"/>
                <w:szCs w:val="28"/>
              </w:rPr>
              <w:t>4</w:t>
            </w:r>
          </w:p>
        </w:tc>
        <w:tc>
          <w:tcPr>
            <w:tcW w:w="291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olor w:val="000000"/>
                <w:sz w:val="28"/>
                <w:szCs w:val="28"/>
              </w:rPr>
            </w:pPr>
            <w:r>
              <w:rPr>
                <w:rFonts w:ascii="仿宋" w:hAnsi="仿宋" w:eastAsia="仿宋"/>
                <w:color w:val="000000"/>
                <w:sz w:val="28"/>
                <w:szCs w:val="28"/>
              </w:rPr>
              <w:t>纵向回缩率</w:t>
            </w:r>
          </w:p>
        </w:tc>
        <w:tc>
          <w:tcPr>
            <w:tcW w:w="353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olor w:val="000000"/>
                <w:sz w:val="28"/>
                <w:szCs w:val="28"/>
              </w:rPr>
            </w:pPr>
            <w:r>
              <w:rPr>
                <w:rFonts w:ascii="仿宋" w:hAnsi="仿宋" w:eastAsia="仿宋"/>
                <w:color w:val="000000"/>
                <w:sz w:val="28"/>
                <w:szCs w:val="28"/>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仿宋"/>
                <w:sz w:val="28"/>
                <w:szCs w:val="28"/>
              </w:rPr>
            </w:pPr>
            <w:r>
              <w:rPr>
                <w:rFonts w:hint="eastAsia" w:ascii="仿宋" w:hAnsi="仿宋" w:eastAsia="仿宋" w:cs="仿宋"/>
                <w:sz w:val="28"/>
                <w:szCs w:val="28"/>
              </w:rPr>
              <w:t>5</w:t>
            </w:r>
          </w:p>
        </w:tc>
        <w:tc>
          <w:tcPr>
            <w:tcW w:w="291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olor w:val="000000"/>
                <w:sz w:val="28"/>
                <w:szCs w:val="28"/>
              </w:rPr>
            </w:pPr>
            <w:r>
              <w:rPr>
                <w:rFonts w:ascii="仿宋" w:hAnsi="仿宋" w:eastAsia="仿宋"/>
                <w:color w:val="000000"/>
                <w:sz w:val="28"/>
                <w:szCs w:val="28"/>
              </w:rPr>
              <w:t>拉伸屈服应力</w:t>
            </w:r>
          </w:p>
        </w:tc>
        <w:tc>
          <w:tcPr>
            <w:tcW w:w="353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olor w:val="000000"/>
                <w:sz w:val="28"/>
                <w:szCs w:val="28"/>
              </w:rPr>
            </w:pPr>
            <w:r>
              <w:rPr>
                <w:rFonts w:ascii="仿宋" w:hAnsi="仿宋" w:eastAsia="仿宋"/>
                <w:color w:val="000000"/>
                <w:sz w:val="28"/>
                <w:szCs w:val="28"/>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仿宋"/>
                <w:sz w:val="28"/>
                <w:szCs w:val="28"/>
              </w:rPr>
            </w:pPr>
            <w:r>
              <w:rPr>
                <w:rFonts w:hint="eastAsia" w:ascii="仿宋" w:hAnsi="仿宋" w:eastAsia="仿宋" w:cs="仿宋"/>
                <w:sz w:val="28"/>
                <w:szCs w:val="28"/>
              </w:rPr>
              <w:t>6</w:t>
            </w:r>
          </w:p>
        </w:tc>
        <w:tc>
          <w:tcPr>
            <w:tcW w:w="291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olor w:val="000000"/>
                <w:sz w:val="28"/>
                <w:szCs w:val="28"/>
              </w:rPr>
            </w:pPr>
            <w:r>
              <w:rPr>
                <w:rFonts w:ascii="仿宋" w:hAnsi="仿宋" w:eastAsia="仿宋"/>
                <w:color w:val="000000"/>
                <w:sz w:val="28"/>
                <w:szCs w:val="28"/>
              </w:rPr>
              <w:t>断裂伸长率</w:t>
            </w:r>
          </w:p>
        </w:tc>
        <w:tc>
          <w:tcPr>
            <w:tcW w:w="353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olor w:val="000000"/>
                <w:sz w:val="28"/>
                <w:szCs w:val="28"/>
              </w:rPr>
            </w:pPr>
            <w:r>
              <w:rPr>
                <w:rFonts w:ascii="仿宋" w:hAnsi="仿宋" w:eastAsia="仿宋"/>
                <w:color w:val="000000"/>
                <w:sz w:val="28"/>
                <w:szCs w:val="28"/>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s="仿宋"/>
                <w:sz w:val="28"/>
                <w:szCs w:val="28"/>
              </w:rPr>
            </w:pPr>
            <w:r>
              <w:rPr>
                <w:rFonts w:hint="eastAsia" w:ascii="仿宋" w:hAnsi="仿宋" w:eastAsia="仿宋" w:cs="仿宋"/>
                <w:sz w:val="28"/>
                <w:szCs w:val="28"/>
              </w:rPr>
              <w:t>7</w:t>
            </w:r>
          </w:p>
        </w:tc>
        <w:tc>
          <w:tcPr>
            <w:tcW w:w="2912"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olor w:val="000000"/>
                <w:sz w:val="28"/>
                <w:szCs w:val="28"/>
              </w:rPr>
            </w:pPr>
            <w:r>
              <w:rPr>
                <w:rFonts w:ascii="仿宋" w:hAnsi="仿宋" w:eastAsia="仿宋"/>
                <w:color w:val="000000"/>
                <w:sz w:val="28"/>
                <w:szCs w:val="28"/>
              </w:rPr>
              <w:t>落锤冲击试验</w:t>
            </w:r>
          </w:p>
        </w:tc>
        <w:tc>
          <w:tcPr>
            <w:tcW w:w="3538" w:type="dxa"/>
            <w:tcBorders>
              <w:top w:val="single" w:color="auto" w:sz="4" w:space="0"/>
              <w:left w:val="single" w:color="auto" w:sz="4" w:space="0"/>
              <w:bottom w:val="single" w:color="auto" w:sz="4" w:space="0"/>
              <w:right w:val="single" w:color="auto" w:sz="4" w:space="0"/>
            </w:tcBorders>
            <w:noWrap/>
            <w:vAlign w:val="center"/>
          </w:tcPr>
          <w:p>
            <w:pPr>
              <w:jc w:val="center"/>
              <w:rPr>
                <w:rFonts w:ascii="仿宋" w:hAnsi="仿宋" w:eastAsia="仿宋"/>
                <w:color w:val="000000"/>
                <w:sz w:val="28"/>
                <w:szCs w:val="28"/>
              </w:rPr>
            </w:pPr>
            <w:r>
              <w:rPr>
                <w:rFonts w:ascii="仿宋" w:hAnsi="仿宋" w:eastAsia="仿宋"/>
                <w:color w:val="000000"/>
                <w:sz w:val="28"/>
                <w:szCs w:val="28"/>
              </w:rPr>
              <w:t>GB/T 5836.1-2018</w:t>
            </w:r>
          </w:p>
          <w:p>
            <w:pPr>
              <w:jc w:val="center"/>
              <w:rPr>
                <w:rFonts w:ascii="仿宋" w:hAnsi="仿宋" w:eastAsia="仿宋"/>
                <w:color w:val="000000"/>
                <w:sz w:val="28"/>
                <w:szCs w:val="28"/>
              </w:rPr>
            </w:pPr>
            <w:r>
              <w:rPr>
                <w:rFonts w:ascii="仿宋" w:hAnsi="仿宋" w:eastAsia="仿宋"/>
                <w:color w:val="000000"/>
                <w:sz w:val="28"/>
                <w:szCs w:val="28"/>
              </w:rPr>
              <w:t>GB/T 14152-2001</w:t>
            </w:r>
          </w:p>
        </w:tc>
      </w:tr>
    </w:tbl>
    <w:p>
      <w:pPr>
        <w:spacing w:line="300" w:lineRule="auto"/>
        <w:rPr>
          <w:rFonts w:ascii="仿宋" w:hAnsi="仿宋" w:eastAsia="仿宋" w:cs="仿宋"/>
          <w:sz w:val="28"/>
          <w:szCs w:val="28"/>
        </w:rPr>
      </w:pPr>
    </w:p>
    <w:p>
      <w:pPr>
        <w:widowControl/>
        <w:ind w:left="-199" w:leftChars="-95" w:firstLine="260" w:firstLineChars="1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注：凡是注日期的文件，其随后所有的修改单（不包括勘误的内容）或修订版不适用于本细则。凡是不注日期的文件，其最新版本适用于本细则。</w:t>
      </w:r>
    </w:p>
    <w:p>
      <w:pPr>
        <w:widowControl/>
        <w:jc w:val="left"/>
        <w:rPr>
          <w:rFonts w:ascii="仿宋" w:hAnsi="仿宋" w:eastAsia="仿宋" w:cs="仿宋"/>
          <w:b/>
          <w:bCs/>
          <w:color w:val="000000"/>
          <w:spacing w:val="-10"/>
          <w:sz w:val="28"/>
          <w:szCs w:val="28"/>
        </w:rPr>
      </w:pPr>
      <w:r>
        <w:rPr>
          <w:rFonts w:hint="eastAsia" w:ascii="仿宋" w:hAnsi="仿宋" w:eastAsia="仿宋" w:cs="仿宋"/>
          <w:b/>
          <w:bCs/>
          <w:color w:val="000000"/>
          <w:spacing w:val="-10"/>
          <w:sz w:val="28"/>
          <w:szCs w:val="28"/>
        </w:rPr>
        <w:t>3 判定规则</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3.1依据标准</w:t>
      </w:r>
    </w:p>
    <w:p>
      <w:pPr>
        <w:widowControl/>
        <w:ind w:firstLine="465"/>
        <w:jc w:val="left"/>
        <w:rPr>
          <w:rFonts w:ascii="仿宋" w:hAnsi="仿宋" w:eastAsia="仿宋" w:cs="宋体"/>
          <w:color w:val="000000"/>
          <w:sz w:val="28"/>
          <w:szCs w:val="28"/>
        </w:rPr>
      </w:pPr>
      <w:r>
        <w:rPr>
          <w:rFonts w:hint="eastAsia" w:ascii="仿宋" w:hAnsi="仿宋" w:eastAsia="仿宋" w:cs="宋体"/>
          <w:spacing w:val="-10"/>
          <w:sz w:val="28"/>
          <w:szCs w:val="28"/>
        </w:rPr>
        <w:t xml:space="preserve">GB/T5836.1-2018 </w:t>
      </w:r>
      <w:r>
        <w:rPr>
          <w:rFonts w:hint="eastAsia" w:ascii="仿宋" w:hAnsi="仿宋" w:eastAsia="仿宋" w:cs="宋体"/>
          <w:color w:val="000000"/>
          <w:sz w:val="28"/>
          <w:szCs w:val="28"/>
        </w:rPr>
        <w:t>建筑排水用硬聚氯乙烯（PVC-U）管材</w:t>
      </w:r>
    </w:p>
    <w:p>
      <w:pPr>
        <w:widowControl/>
        <w:ind w:firstLine="465"/>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相关的法律、行政法规、部门规章、规范性文件</w:t>
      </w:r>
    </w:p>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 xml:space="preserve">    现行有效的企业标准、团体标准、地方标准及产品明示质量要求</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3.2判定原则</w:t>
      </w:r>
    </w:p>
    <w:p>
      <w:pPr>
        <w:widowControl/>
        <w:ind w:firstLine="465"/>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经检验，检验项目全部合格，判定为被抽查产品</w:t>
      </w:r>
      <w:r>
        <w:rPr>
          <w:rFonts w:hint="eastAsia" w:ascii="仿宋" w:hAnsi="仿宋" w:eastAsia="仿宋" w:cs="仿宋"/>
          <w:color w:val="auto"/>
          <w:spacing w:val="-10"/>
          <w:sz w:val="28"/>
          <w:szCs w:val="28"/>
        </w:rPr>
        <w:t>所检项目未发现不合格；</w:t>
      </w:r>
      <w:r>
        <w:rPr>
          <w:rFonts w:hint="eastAsia" w:ascii="仿宋" w:hAnsi="仿宋" w:eastAsia="仿宋" w:cs="仿宋"/>
          <w:color w:val="000000"/>
          <w:spacing w:val="-10"/>
          <w:sz w:val="28"/>
          <w:szCs w:val="28"/>
        </w:rPr>
        <w:t>检验项目中任一项或一项以上不合格，判定为被抽查产品不合格。</w:t>
      </w:r>
    </w:p>
    <w:p>
      <w:pPr>
        <w:widowControl/>
        <w:ind w:firstLine="465"/>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若被检产品明示的质量要求高于本细则中检验项目依据的标准要求时，应按被检产品明示的质量要求判定。</w:t>
      </w:r>
    </w:p>
    <w:p>
      <w:pPr>
        <w:widowControl/>
        <w:ind w:firstLine="465"/>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若被检产品明示的质量要求低于本细则中检验项目依据的强制性标准要求时，应按照强制性标准要求判定。</w:t>
      </w:r>
    </w:p>
    <w:p>
      <w:pPr>
        <w:widowControl/>
        <w:ind w:firstLine="465"/>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若被检产品明示的质量要求低于或包含本细则中检验项目依据的推荐性标准要求时，应以被检产品明示的质量要求判定。</w:t>
      </w:r>
    </w:p>
    <w:p>
      <w:pPr>
        <w:widowControl/>
        <w:ind w:firstLine="465"/>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若被检产品明示的质量要求缺少本细则中检验项目依据的强制性标准要求时，应按照强制性标准要求判定。</w:t>
      </w:r>
    </w:p>
    <w:p>
      <w:pPr>
        <w:widowControl/>
        <w:ind w:firstLine="465"/>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若被检产品明示的质量要求缺少本细则中检验项目依据的推荐性标准要求时，该项目不参与判定。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C0F2E"/>
    <w:rsid w:val="00014D9B"/>
    <w:rsid w:val="00017C84"/>
    <w:rsid w:val="000974EE"/>
    <w:rsid w:val="000C5367"/>
    <w:rsid w:val="000D7E9A"/>
    <w:rsid w:val="00172146"/>
    <w:rsid w:val="00180380"/>
    <w:rsid w:val="001B3260"/>
    <w:rsid w:val="001D01F5"/>
    <w:rsid w:val="00206B7D"/>
    <w:rsid w:val="002119F7"/>
    <w:rsid w:val="00222034"/>
    <w:rsid w:val="0028351A"/>
    <w:rsid w:val="002B7C84"/>
    <w:rsid w:val="0037194D"/>
    <w:rsid w:val="00372506"/>
    <w:rsid w:val="003876F2"/>
    <w:rsid w:val="00390D80"/>
    <w:rsid w:val="003A308C"/>
    <w:rsid w:val="00422544"/>
    <w:rsid w:val="00446EE1"/>
    <w:rsid w:val="00452094"/>
    <w:rsid w:val="004737AB"/>
    <w:rsid w:val="0049505F"/>
    <w:rsid w:val="004D0E0A"/>
    <w:rsid w:val="004D71FD"/>
    <w:rsid w:val="0057053F"/>
    <w:rsid w:val="00574722"/>
    <w:rsid w:val="005A4564"/>
    <w:rsid w:val="005B70FF"/>
    <w:rsid w:val="005C77CB"/>
    <w:rsid w:val="005D32B0"/>
    <w:rsid w:val="005D6B26"/>
    <w:rsid w:val="006624E8"/>
    <w:rsid w:val="00675DB1"/>
    <w:rsid w:val="006A1146"/>
    <w:rsid w:val="006C7C7A"/>
    <w:rsid w:val="006D3660"/>
    <w:rsid w:val="00704368"/>
    <w:rsid w:val="0073754B"/>
    <w:rsid w:val="00744839"/>
    <w:rsid w:val="007D3590"/>
    <w:rsid w:val="007D6750"/>
    <w:rsid w:val="008014E2"/>
    <w:rsid w:val="008660D2"/>
    <w:rsid w:val="008724BB"/>
    <w:rsid w:val="008C253C"/>
    <w:rsid w:val="008D3DED"/>
    <w:rsid w:val="00913A26"/>
    <w:rsid w:val="00954D8A"/>
    <w:rsid w:val="00977C23"/>
    <w:rsid w:val="00997F84"/>
    <w:rsid w:val="009A6C8E"/>
    <w:rsid w:val="009E4B0F"/>
    <w:rsid w:val="009F0636"/>
    <w:rsid w:val="00A1407C"/>
    <w:rsid w:val="00A22D86"/>
    <w:rsid w:val="00A233CA"/>
    <w:rsid w:val="00A33429"/>
    <w:rsid w:val="00A37D62"/>
    <w:rsid w:val="00A54937"/>
    <w:rsid w:val="00A8059A"/>
    <w:rsid w:val="00AB6299"/>
    <w:rsid w:val="00AD7EF1"/>
    <w:rsid w:val="00AF1713"/>
    <w:rsid w:val="00B22458"/>
    <w:rsid w:val="00B2498A"/>
    <w:rsid w:val="00B53407"/>
    <w:rsid w:val="00B96D64"/>
    <w:rsid w:val="00BA247D"/>
    <w:rsid w:val="00C734B8"/>
    <w:rsid w:val="00C85642"/>
    <w:rsid w:val="00C869EC"/>
    <w:rsid w:val="00CC2FE7"/>
    <w:rsid w:val="00CE6C08"/>
    <w:rsid w:val="00D35BC7"/>
    <w:rsid w:val="00D85F10"/>
    <w:rsid w:val="00DB78C7"/>
    <w:rsid w:val="00DB7A65"/>
    <w:rsid w:val="00DC0F2E"/>
    <w:rsid w:val="00EA26C4"/>
    <w:rsid w:val="00EA7F17"/>
    <w:rsid w:val="00EE7E64"/>
    <w:rsid w:val="00F01AB6"/>
    <w:rsid w:val="00F12480"/>
    <w:rsid w:val="00F24ED1"/>
    <w:rsid w:val="01484FA4"/>
    <w:rsid w:val="01BB7564"/>
    <w:rsid w:val="22014F16"/>
    <w:rsid w:val="3C4562A2"/>
    <w:rsid w:val="59867E20"/>
    <w:rsid w:val="5DF54136"/>
    <w:rsid w:val="6E841DDA"/>
    <w:rsid w:val="756C0D83"/>
    <w:rsid w:val="7D9E3E48"/>
    <w:rsid w:val="DFA37E13"/>
    <w:rsid w:val="E7F330A4"/>
    <w:rsid w:val="FB7BB4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Indent 3"/>
    <w:basedOn w:val="1"/>
    <w:link w:val="9"/>
    <w:qFormat/>
    <w:uiPriority w:val="0"/>
    <w:pPr>
      <w:spacing w:after="120"/>
      <w:ind w:left="420" w:leftChars="200"/>
    </w:pPr>
    <w:rPr>
      <w:sz w:val="16"/>
      <w:szCs w:val="16"/>
    </w:r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 w:type="character" w:customStyle="1" w:styleId="9">
    <w:name w:val="正文文本缩进 3 Char"/>
    <w:basedOn w:val="6"/>
    <w:link w:val="4"/>
    <w:qFormat/>
    <w:uiPriority w:val="0"/>
    <w:rPr>
      <w:kern w:val="2"/>
      <w:sz w:val="16"/>
      <w:szCs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165</Words>
  <Characters>946</Characters>
  <Lines>7</Lines>
  <Paragraphs>2</Paragraphs>
  <TotalTime>438</TotalTime>
  <ScaleCrop>false</ScaleCrop>
  <LinksUpToDate>false</LinksUpToDate>
  <CharactersWithSpaces>1109</CharactersWithSpaces>
  <Application>WPS Office_11.8.2.10533_F1E327BC-269C-435d-A152-05C5408002CA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2020-04-27T18:55:00Z</dcterms:created>
  <dc:creator>Administrator</dc:creator>
  <cp:lastModifiedBy>user</cp:lastModifiedBy>
  <dcterms:modified xsi:type="dcterms:W3CDTF">2023-08-02T16:25:09Z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2052-11.8.2.10533</vt:lpwstr>
  </property>
  <property fmtid="{D5CDD505-2E9C-101B-9397-08002B2CF9AE}" pid="3" name="ICV">
    <vt:lpwstr>F1AF568102E54FBEAE706B7A7318797C</vt:lpwstr>
  </property>
</Properties>
</file>