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长春市202</w:t>
      </w:r>
      <w:r>
        <w:rPr>
          <w:rFonts w:hint="eastAsia" w:ascii="仿宋" w:hAnsi="仿宋" w:eastAsia="仿宋" w:cs="仿宋"/>
          <w:b/>
          <w:bCs/>
          <w:color w:val="000000" w:themeColor="text1"/>
          <w:sz w:val="32"/>
          <w:szCs w:val="32"/>
          <w:lang w:val="en-US" w:eastAsia="zh-CN"/>
          <w14:textFill>
            <w14:solidFill>
              <w14:schemeClr w14:val="tx1"/>
            </w14:solidFill>
          </w14:textFill>
        </w:rPr>
        <w:t>3</w:t>
      </w:r>
      <w:r>
        <w:rPr>
          <w:rFonts w:hint="eastAsia" w:ascii="仿宋" w:hAnsi="仿宋" w:eastAsia="仿宋" w:cs="仿宋"/>
          <w:b/>
          <w:bCs/>
          <w:color w:val="000000" w:themeColor="text1"/>
          <w:sz w:val="32"/>
          <w:szCs w:val="32"/>
          <w14:textFill>
            <w14:solidFill>
              <w14:schemeClr w14:val="tx1"/>
            </w14:solidFill>
          </w14:textFill>
        </w:rPr>
        <w:t>年检查井盖产品质量监督抽查实施细则</w:t>
      </w:r>
    </w:p>
    <w:p>
      <w:pPr>
        <w:spacing w:line="620" w:lineRule="exact"/>
        <w:jc w:val="center"/>
        <w:rPr>
          <w:rFonts w:ascii="仿宋" w:hAnsi="仿宋" w:eastAsia="仿宋" w:cs="宋体"/>
          <w:color w:val="000000" w:themeColor="text1"/>
          <w:sz w:val="44"/>
          <w:szCs w:val="44"/>
          <w14:textFill>
            <w14:solidFill>
              <w14:schemeClr w14:val="tx1"/>
            </w14:solidFill>
          </w14:textFill>
        </w:rPr>
      </w:pPr>
    </w:p>
    <w:p>
      <w:pPr>
        <w:widowControl/>
        <w:jc w:val="left"/>
        <w:rPr>
          <w:rFonts w:ascii="仿宋" w:hAnsi="仿宋" w:eastAsia="仿宋" w:cs="仿宋"/>
          <w:b/>
          <w:bCs/>
          <w:color w:val="000000" w:themeColor="text1"/>
          <w:spacing w:val="-10"/>
          <w:sz w:val="28"/>
          <w:szCs w:val="28"/>
          <w14:textFill>
            <w14:solidFill>
              <w14:schemeClr w14:val="tx1"/>
            </w14:solidFill>
          </w14:textFill>
        </w:rPr>
      </w:pPr>
      <w:r>
        <w:rPr>
          <w:rFonts w:hint="eastAsia" w:ascii="仿宋" w:hAnsi="仿宋" w:eastAsia="仿宋" w:cs="仿宋"/>
          <w:b/>
          <w:bCs/>
          <w:color w:val="000000" w:themeColor="text1"/>
          <w:spacing w:val="-10"/>
          <w:sz w:val="28"/>
          <w:szCs w:val="28"/>
          <w14:textFill>
            <w14:solidFill>
              <w14:schemeClr w14:val="tx1"/>
            </w14:solidFill>
          </w14:textFill>
        </w:rPr>
        <w:t>1 抽样方法</w:t>
      </w:r>
    </w:p>
    <w:p>
      <w:pPr>
        <w:widowControl/>
        <w:ind w:firstLine="520" w:firstLineChars="2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1.1抽样型号或规格</w:t>
      </w:r>
    </w:p>
    <w:p>
      <w:pPr>
        <w:widowControl/>
        <w:ind w:firstLine="520" w:firstLineChars="2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抽取产品应为同一类别、同一规格，同一原材料的产品。</w:t>
      </w:r>
    </w:p>
    <w:p>
      <w:pPr>
        <w:widowControl/>
        <w:ind w:firstLine="520" w:firstLineChars="2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1.2抽样方法、基数及数量</w:t>
      </w:r>
    </w:p>
    <w:p>
      <w:pPr>
        <w:spacing w:line="300" w:lineRule="auto"/>
        <w:ind w:firstLine="520" w:firstLineChars="200"/>
        <w:rPr>
          <w:rFonts w:ascii="仿宋" w:hAnsi="仿宋" w:eastAsia="仿宋" w:cs="宋体"/>
          <w:color w:val="000000" w:themeColor="text1"/>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1.2.1以随机抽样的方式在被抽样生产者</w:t>
      </w:r>
      <w:r>
        <w:rPr>
          <w:rFonts w:hint="eastAsia" w:ascii="仿宋" w:hAnsi="仿宋" w:eastAsia="仿宋" w:cs="仿宋"/>
          <w:color w:val="000000" w:themeColor="text1"/>
          <w:spacing w:val="-10"/>
          <w:sz w:val="28"/>
          <w:szCs w:val="28"/>
          <w:lang w:eastAsia="zh-CN"/>
          <w14:textFill>
            <w14:solidFill>
              <w14:schemeClr w14:val="tx1"/>
            </w14:solidFill>
          </w14:textFill>
        </w:rPr>
        <w:t>、销售者</w:t>
      </w:r>
      <w:r>
        <w:rPr>
          <w:rFonts w:hint="eastAsia" w:ascii="仿宋" w:hAnsi="仿宋" w:eastAsia="仿宋" w:cs="仿宋"/>
          <w:color w:val="000000" w:themeColor="text1"/>
          <w:spacing w:val="-10"/>
          <w:sz w:val="28"/>
          <w:szCs w:val="28"/>
          <w14:textFill>
            <w14:solidFill>
              <w14:schemeClr w14:val="tx1"/>
            </w14:solidFill>
          </w14:textFill>
        </w:rPr>
        <w:t>的待销产品中抽取</w:t>
      </w:r>
      <w:r>
        <w:rPr>
          <w:rFonts w:hint="eastAsia" w:ascii="仿宋" w:hAnsi="仿宋" w:eastAsia="仿宋" w:cs="Arial"/>
          <w:color w:val="000000" w:themeColor="text1"/>
          <w:sz w:val="28"/>
          <w:szCs w:val="28"/>
          <w14:textFill>
            <w14:solidFill>
              <w14:schemeClr w14:val="tx1"/>
            </w14:solidFill>
          </w14:textFill>
        </w:rPr>
        <w:t>。随机数一般可使用随机数表等方法产生。</w:t>
      </w:r>
    </w:p>
    <w:p>
      <w:pPr>
        <w:ind w:firstLine="520" w:firstLineChars="2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1.2.2检验数量：</w:t>
      </w:r>
    </w:p>
    <w:p>
      <w:pPr>
        <w:spacing w:line="300" w:lineRule="auto"/>
        <w:ind w:firstLine="520" w:firstLineChars="200"/>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highlight w:val="none"/>
          <w14:textFill>
            <w14:solidFill>
              <w14:schemeClr w14:val="tx1"/>
            </w14:solidFill>
          </w14:textFill>
        </w:rPr>
        <w:t>检查井盖抽取4套</w:t>
      </w:r>
      <w:r>
        <w:rPr>
          <w:rFonts w:hint="eastAsia" w:ascii="仿宋" w:hAnsi="仿宋" w:eastAsia="仿宋" w:cs="仿宋"/>
          <w:color w:val="000000" w:themeColor="text1"/>
          <w:spacing w:val="-10"/>
          <w:sz w:val="28"/>
          <w:szCs w:val="28"/>
          <w:highlight w:val="none"/>
          <w:lang w:eastAsia="zh-CN"/>
          <w14:textFill>
            <w14:solidFill>
              <w14:schemeClr w14:val="tx1"/>
            </w14:solidFill>
          </w14:textFill>
        </w:rPr>
        <w:t>（</w:t>
      </w:r>
      <w:r>
        <w:rPr>
          <w:rFonts w:hint="eastAsia" w:ascii="仿宋" w:hAnsi="仿宋" w:eastAsia="仿宋" w:cs="仿宋"/>
          <w:color w:val="000000" w:themeColor="text1"/>
          <w:spacing w:val="-10"/>
          <w:sz w:val="28"/>
          <w:szCs w:val="28"/>
          <w:highlight w:val="none"/>
          <w:lang w:val="en-US" w:eastAsia="zh-CN"/>
          <w14:textFill>
            <w14:solidFill>
              <w14:schemeClr w14:val="tx1"/>
            </w14:solidFill>
          </w14:textFill>
        </w:rPr>
        <w:t>包含井盖和井座</w:t>
      </w:r>
      <w:r>
        <w:rPr>
          <w:rFonts w:hint="eastAsia" w:ascii="仿宋" w:hAnsi="仿宋" w:eastAsia="仿宋" w:cs="仿宋"/>
          <w:color w:val="000000" w:themeColor="text1"/>
          <w:spacing w:val="-10"/>
          <w:sz w:val="28"/>
          <w:szCs w:val="28"/>
          <w:highlight w:val="none"/>
          <w:lang w:eastAsia="zh-CN"/>
          <w14:textFill>
            <w14:solidFill>
              <w14:schemeClr w14:val="tx1"/>
            </w14:solidFill>
          </w14:textFill>
        </w:rPr>
        <w:t>）</w:t>
      </w:r>
      <w:r>
        <w:rPr>
          <w:rFonts w:hint="eastAsia" w:ascii="仿宋" w:hAnsi="仿宋" w:eastAsia="仿宋" w:cs="仿宋"/>
          <w:color w:val="000000" w:themeColor="text1"/>
          <w:spacing w:val="-10"/>
          <w:sz w:val="28"/>
          <w:szCs w:val="28"/>
          <w:highlight w:val="none"/>
          <w14:textFill>
            <w14:solidFill>
              <w14:schemeClr w14:val="tx1"/>
            </w14:solidFill>
          </w14:textFill>
        </w:rPr>
        <w:t>。</w:t>
      </w:r>
      <w:r>
        <w:rPr>
          <w:rFonts w:hint="eastAsia" w:ascii="仿宋" w:hAnsi="仿宋" w:eastAsia="仿宋" w:cs="宋体"/>
          <w:color w:val="000000" w:themeColor="text1"/>
          <w:sz w:val="28"/>
          <w:szCs w:val="28"/>
          <w:highlight w:val="none"/>
          <w14:textFill>
            <w14:solidFill>
              <w14:schemeClr w14:val="tx1"/>
            </w14:solidFill>
          </w14:textFill>
        </w:rPr>
        <w:t>2套作为检验用样品，2套作为备用样品。</w:t>
      </w:r>
    </w:p>
    <w:p>
      <w:pPr>
        <w:ind w:firstLine="520" w:firstLineChars="2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1.2.3抽样基数满足抽样数量即可。</w:t>
      </w:r>
    </w:p>
    <w:p>
      <w:pPr>
        <w:widowControl/>
        <w:jc w:val="left"/>
        <w:rPr>
          <w:rFonts w:hint="eastAsia" w:ascii="仿宋" w:hAnsi="仿宋" w:eastAsia="仿宋" w:cs="仿宋"/>
          <w:b/>
          <w:bCs/>
          <w:color w:val="000000" w:themeColor="text1"/>
          <w:spacing w:val="-10"/>
          <w:sz w:val="28"/>
          <w:szCs w:val="28"/>
          <w:lang w:eastAsia="zh-CN"/>
          <w14:textFill>
            <w14:solidFill>
              <w14:schemeClr w14:val="tx1"/>
            </w14:solidFill>
          </w14:textFill>
        </w:rPr>
      </w:pPr>
      <w:r>
        <w:rPr>
          <w:rFonts w:hint="eastAsia" w:ascii="仿宋" w:hAnsi="仿宋" w:eastAsia="仿宋" w:cs="仿宋"/>
          <w:b/>
          <w:bCs/>
          <w:color w:val="000000" w:themeColor="text1"/>
          <w:spacing w:val="-10"/>
          <w:sz w:val="28"/>
          <w:szCs w:val="28"/>
          <w14:textFill>
            <w14:solidFill>
              <w14:schemeClr w14:val="tx1"/>
            </w14:solidFill>
          </w14:textFill>
        </w:rPr>
        <w:t>2 检验</w:t>
      </w:r>
      <w:r>
        <w:rPr>
          <w:rFonts w:hint="eastAsia" w:ascii="仿宋" w:hAnsi="仿宋" w:eastAsia="仿宋" w:cs="仿宋"/>
          <w:b/>
          <w:bCs/>
          <w:color w:val="000000" w:themeColor="text1"/>
          <w:spacing w:val="-10"/>
          <w:sz w:val="28"/>
          <w:szCs w:val="28"/>
          <w:lang w:eastAsia="zh-CN"/>
          <w14:textFill>
            <w14:solidFill>
              <w14:schemeClr w14:val="tx1"/>
            </w14:solidFill>
          </w14:textFill>
        </w:rPr>
        <w:t>依据</w:t>
      </w:r>
    </w:p>
    <w:p>
      <w:pPr>
        <w:spacing w:line="300" w:lineRule="auto"/>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表1</w:t>
      </w:r>
      <w:r>
        <w:rPr>
          <w:rFonts w:hint="eastAsia" w:ascii="仿宋" w:hAnsi="仿宋" w:eastAsia="仿宋" w:cs="仿宋"/>
          <w:color w:val="000000" w:themeColor="text1"/>
          <w:spacing w:val="-10"/>
          <w:sz w:val="28"/>
          <w:szCs w:val="28"/>
          <w14:textFill>
            <w14:solidFill>
              <w14:schemeClr w14:val="tx1"/>
            </w14:solidFill>
          </w14:textFill>
        </w:rPr>
        <w:t>检查井盖</w:t>
      </w:r>
      <w:r>
        <w:rPr>
          <w:rFonts w:hint="eastAsia" w:ascii="仿宋" w:hAnsi="仿宋" w:eastAsia="仿宋" w:cs="宋体"/>
          <w:color w:val="000000" w:themeColor="text1"/>
          <w:sz w:val="28"/>
          <w:szCs w:val="28"/>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检验项目</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2252"/>
        <w:gridCol w:w="2746"/>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382" w:type="pc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序号</w:t>
            </w:r>
          </w:p>
        </w:tc>
        <w:tc>
          <w:tcPr>
            <w:tcW w:w="2982" w:type="pct"/>
            <w:gridSpan w:val="2"/>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检验项目</w:t>
            </w:r>
          </w:p>
        </w:tc>
        <w:tc>
          <w:tcPr>
            <w:tcW w:w="1635" w:type="pc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restart"/>
            <w:tcBorders>
              <w:top w:val="single" w:color="auto" w:sz="4" w:space="0"/>
              <w:left w:val="single" w:color="auto" w:sz="4" w:space="0"/>
              <w:right w:val="single" w:color="auto" w:sz="4" w:space="0"/>
            </w:tcBorders>
            <w:noWrap/>
            <w:vAlign w:val="center"/>
          </w:tcPr>
          <w:p>
            <w:pPr>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p>
        </w:tc>
        <w:tc>
          <w:tcPr>
            <w:tcW w:w="1346" w:type="pct"/>
            <w:vMerge w:val="restart"/>
            <w:tcBorders>
              <w:top w:val="single" w:color="auto" w:sz="4" w:space="0"/>
              <w:left w:val="single" w:color="auto" w:sz="4" w:space="0"/>
              <w:right w:val="single" w:color="auto" w:sz="4" w:space="0"/>
            </w:tcBorders>
            <w:noWrap/>
            <w:vAlign w:val="center"/>
          </w:tcPr>
          <w:p>
            <w:pPr>
              <w:jc w:val="center"/>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承载能力</w:t>
            </w:r>
          </w:p>
        </w:tc>
        <w:tc>
          <w:tcPr>
            <w:tcW w:w="163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 w:hAnsi="仿宋" w:eastAsia="仿宋"/>
                <w:color w:val="000000" w:themeColor="text1"/>
                <w:sz w:val="28"/>
                <w:szCs w:val="28"/>
                <w:lang w:val="en-US" w:eastAsia="zh-CN"/>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试验荷载</w:t>
            </w:r>
          </w:p>
        </w:tc>
        <w:tc>
          <w:tcPr>
            <w:tcW w:w="1635" w:type="pct"/>
            <w:vMerge w:val="restart"/>
            <w:tcBorders>
              <w:top w:val="single" w:color="auto" w:sz="4" w:space="0"/>
              <w:left w:val="single" w:color="auto" w:sz="4" w:space="0"/>
              <w:right w:val="single" w:color="auto" w:sz="4" w:space="0"/>
            </w:tcBorders>
            <w:noWrap/>
            <w:vAlign w:val="center"/>
          </w:tcPr>
          <w:p>
            <w:pPr>
              <w:jc w:val="center"/>
              <w:rPr>
                <w:rFonts w:ascii="仿宋" w:hAnsi="仿宋" w:eastAsia="仿宋"/>
                <w:color w:val="000000" w:themeColor="text1"/>
                <w:sz w:val="28"/>
                <w:szCs w:val="28"/>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GB/T 23858-2009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left w:val="single" w:color="auto" w:sz="4" w:space="0"/>
              <w:bottom w:val="single" w:color="auto" w:sz="4" w:space="0"/>
              <w:right w:val="single" w:color="auto" w:sz="4" w:space="0"/>
            </w:tcBorders>
            <w:noWrap/>
            <w:vAlign w:val="center"/>
          </w:tcPr>
          <w:p>
            <w:pPr>
              <w:jc w:val="center"/>
              <w:rPr>
                <w:rFonts w:hint="eastAsia" w:ascii="仿宋" w:hAnsi="仿宋" w:eastAsia="仿宋" w:cs="仿宋"/>
                <w:color w:val="000000" w:themeColor="text1"/>
                <w:sz w:val="28"/>
                <w:szCs w:val="28"/>
                <w14:textFill>
                  <w14:solidFill>
                    <w14:schemeClr w14:val="tx1"/>
                  </w14:solidFill>
                </w14:textFill>
              </w:rPr>
            </w:pPr>
          </w:p>
        </w:tc>
        <w:tc>
          <w:tcPr>
            <w:tcW w:w="1346" w:type="pct"/>
            <w:vMerge w:val="continue"/>
            <w:tcBorders>
              <w:left w:val="single" w:color="auto" w:sz="4" w:space="0"/>
              <w:bottom w:val="single" w:color="auto" w:sz="4" w:space="0"/>
              <w:right w:val="single" w:color="auto" w:sz="4" w:space="0"/>
            </w:tcBorders>
            <w:noWrap/>
            <w:vAlign w:val="center"/>
          </w:tcPr>
          <w:p>
            <w:pPr>
              <w:jc w:val="center"/>
              <w:rPr>
                <w:rFonts w:hint="eastAsia" w:ascii="仿宋" w:hAnsi="仿宋" w:eastAsia="仿宋"/>
                <w:color w:val="000000" w:themeColor="text1"/>
                <w:sz w:val="28"/>
                <w:szCs w:val="28"/>
                <w14:textFill>
                  <w14:solidFill>
                    <w14:schemeClr w14:val="tx1"/>
                  </w14:solidFill>
                </w14:textFill>
              </w:rPr>
            </w:pPr>
          </w:p>
        </w:tc>
        <w:tc>
          <w:tcPr>
            <w:tcW w:w="1636" w:type="pct"/>
            <w:tcBorders>
              <w:top w:val="single" w:color="auto" w:sz="4" w:space="0"/>
              <w:left w:val="single" w:color="auto" w:sz="4" w:space="0"/>
              <w:bottom w:val="single" w:color="auto" w:sz="4" w:space="0"/>
              <w:right w:val="single" w:color="auto" w:sz="4" w:space="0"/>
            </w:tcBorders>
            <w:noWrap/>
            <w:vAlign w:val="center"/>
          </w:tcPr>
          <w:p>
            <w:pPr>
              <w:jc w:val="center"/>
              <w:rPr>
                <w:rFonts w:hint="eastAsia" w:ascii="仿宋" w:hAnsi="仿宋" w:eastAsia="仿宋"/>
                <w:color w:val="000000" w:themeColor="text1"/>
                <w:sz w:val="28"/>
                <w:szCs w:val="28"/>
                <w:lang w:val="en-US" w:eastAsia="zh-CN"/>
                <w14:textFill>
                  <w14:solidFill>
                    <w14:schemeClr w14:val="tx1"/>
                  </w14:solidFill>
                </w14:textFill>
              </w:rPr>
            </w:pPr>
            <w:r>
              <w:rPr>
                <w:rFonts w:hint="eastAsia" w:ascii="仿宋" w:hAnsi="仿宋" w:eastAsia="仿宋"/>
                <w:color w:val="000000" w:themeColor="text1"/>
                <w:sz w:val="28"/>
                <w:szCs w:val="28"/>
                <w:lang w:val="en-US" w:eastAsia="zh-CN"/>
                <w14:textFill>
                  <w14:solidFill>
                    <w14:schemeClr w14:val="tx1"/>
                  </w14:solidFill>
                </w14:textFill>
              </w:rPr>
              <w:t>残留变形</w:t>
            </w:r>
          </w:p>
        </w:tc>
        <w:tc>
          <w:tcPr>
            <w:tcW w:w="1635" w:type="pct"/>
            <w:vMerge w:val="continue"/>
            <w:tcBorders>
              <w:left w:val="single" w:color="auto" w:sz="4" w:space="0"/>
              <w:bottom w:val="single" w:color="auto" w:sz="4" w:space="0"/>
              <w:right w:val="single" w:color="auto" w:sz="4" w:space="0"/>
            </w:tcBorders>
            <w:noWrap/>
            <w:vAlign w:val="center"/>
          </w:tcPr>
          <w:p>
            <w:pPr>
              <w:jc w:val="center"/>
              <w:rPr>
                <w:rFonts w:hint="eastAsia" w:ascii="仿宋" w:hAnsi="仿宋" w:eastAsia="仿宋"/>
                <w:color w:val="000000" w:themeColor="text1"/>
                <w:sz w:val="28"/>
                <w:szCs w:val="28"/>
                <w14:textFill>
                  <w14:solidFill>
                    <w14:schemeClr w14:val="tx1"/>
                  </w14:solidFill>
                </w14:textFill>
              </w:rPr>
            </w:pPr>
          </w:p>
        </w:tc>
      </w:tr>
    </w:tbl>
    <w:p>
      <w:pPr>
        <w:spacing w:line="300" w:lineRule="auto"/>
        <w:rPr>
          <w:rFonts w:ascii="仿宋" w:hAnsi="仿宋" w:eastAsia="仿宋" w:cs="仿宋"/>
          <w:color w:val="000000" w:themeColor="text1"/>
          <w:sz w:val="28"/>
          <w:szCs w:val="28"/>
          <w14:textFill>
            <w14:solidFill>
              <w14:schemeClr w14:val="tx1"/>
            </w14:solidFill>
          </w14:textFill>
        </w:rPr>
      </w:pPr>
    </w:p>
    <w:p>
      <w:pPr>
        <w:widowControl/>
        <w:ind w:left="-199" w:leftChars="-95" w:firstLine="260" w:firstLineChars="1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注：凡是注日期的文件，其随后所有的修改单（不包括勘误的内容）或修订版不适用于本细则。凡是不注日期的文件，其最新版本适用于本细则。</w:t>
      </w:r>
    </w:p>
    <w:p>
      <w:pPr>
        <w:widowControl/>
        <w:jc w:val="left"/>
        <w:rPr>
          <w:rFonts w:ascii="仿宋" w:hAnsi="仿宋" w:eastAsia="仿宋" w:cs="仿宋"/>
          <w:b/>
          <w:bCs/>
          <w:color w:val="000000" w:themeColor="text1"/>
          <w:spacing w:val="-10"/>
          <w:sz w:val="28"/>
          <w:szCs w:val="28"/>
          <w14:textFill>
            <w14:solidFill>
              <w14:schemeClr w14:val="tx1"/>
            </w14:solidFill>
          </w14:textFill>
        </w:rPr>
      </w:pPr>
      <w:r>
        <w:rPr>
          <w:rFonts w:hint="eastAsia" w:ascii="仿宋" w:hAnsi="仿宋" w:eastAsia="仿宋" w:cs="仿宋"/>
          <w:b/>
          <w:bCs/>
          <w:color w:val="000000" w:themeColor="text1"/>
          <w:spacing w:val="-10"/>
          <w:sz w:val="28"/>
          <w:szCs w:val="28"/>
          <w14:textFill>
            <w14:solidFill>
              <w14:schemeClr w14:val="tx1"/>
            </w14:solidFill>
          </w14:textFill>
        </w:rPr>
        <w:t>3 判定规则</w:t>
      </w:r>
    </w:p>
    <w:p>
      <w:pPr>
        <w:widowControl/>
        <w:ind w:firstLine="520" w:firstLineChars="200"/>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3.1依据标准</w:t>
      </w:r>
    </w:p>
    <w:p>
      <w:pPr>
        <w:widowControl/>
        <w:ind w:firstLine="465"/>
        <w:jc w:val="left"/>
        <w:rPr>
          <w:rFonts w:hint="eastAsia" w:ascii="仿宋" w:hAnsi="仿宋" w:eastAsia="仿宋"/>
          <w:color w:val="000000" w:themeColor="text1"/>
          <w:sz w:val="28"/>
          <w:szCs w:val="28"/>
          <w:lang w:eastAsia="zh-CN"/>
          <w14:textFill>
            <w14:solidFill>
              <w14:schemeClr w14:val="tx1"/>
            </w14:solidFill>
          </w14:textFill>
        </w:rPr>
      </w:pPr>
      <w:r>
        <w:rPr>
          <w:rFonts w:hint="eastAsia" w:ascii="仿宋" w:hAnsi="仿宋" w:eastAsia="仿宋"/>
          <w:color w:val="000000" w:themeColor="text1"/>
          <w:sz w:val="28"/>
          <w:szCs w:val="28"/>
          <w14:textFill>
            <w14:solidFill>
              <w14:schemeClr w14:val="tx1"/>
            </w14:solidFill>
          </w14:textFill>
        </w:rPr>
        <w:t xml:space="preserve">GB/T 23858-2009  </w:t>
      </w:r>
      <w:r>
        <w:rPr>
          <w:rFonts w:hint="eastAsia" w:ascii="仿宋" w:hAnsi="仿宋" w:eastAsia="仿宋"/>
          <w:color w:val="000000" w:themeColor="text1"/>
          <w:sz w:val="28"/>
          <w:szCs w:val="28"/>
          <w:lang w:eastAsia="zh-CN"/>
          <w14:textFill>
            <w14:solidFill>
              <w14:schemeClr w14:val="tx1"/>
            </w14:solidFill>
          </w14:textFill>
        </w:rPr>
        <w:t>《</w:t>
      </w:r>
      <w:r>
        <w:rPr>
          <w:rFonts w:hint="eastAsia" w:ascii="仿宋" w:hAnsi="仿宋" w:eastAsia="仿宋"/>
          <w:color w:val="000000" w:themeColor="text1"/>
          <w:sz w:val="28"/>
          <w:szCs w:val="28"/>
          <w14:textFill>
            <w14:solidFill>
              <w14:schemeClr w14:val="tx1"/>
            </w14:solidFill>
          </w14:textFill>
        </w:rPr>
        <w:t>检查井盖</w:t>
      </w:r>
      <w:r>
        <w:rPr>
          <w:rFonts w:hint="eastAsia" w:ascii="仿宋" w:hAnsi="仿宋" w:eastAsia="仿宋"/>
          <w:color w:val="000000" w:themeColor="text1"/>
          <w:sz w:val="28"/>
          <w:szCs w:val="28"/>
          <w:lang w:eastAsia="zh-CN"/>
          <w14:textFill>
            <w14:solidFill>
              <w14:schemeClr w14:val="tx1"/>
            </w14:solidFill>
          </w14:textFill>
        </w:rPr>
        <w:t>》</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相关的法律、行政法规、部门规章、规范性文件</w:t>
      </w:r>
    </w:p>
    <w:p>
      <w:pPr>
        <w:widowControl/>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 xml:space="preserve">    现行有效的行业标准、企业标准、团体标准、地方标准及产品明示质量要求</w:t>
      </w:r>
    </w:p>
    <w:p>
      <w:pPr>
        <w:widowControl/>
        <w:ind w:firstLine="520" w:firstLineChars="200"/>
        <w:jc w:val="left"/>
        <w:rPr>
          <w:rFonts w:ascii="仿宋" w:hAnsi="仿宋" w:eastAsia="仿宋" w:cs="仿宋"/>
          <w:color w:val="000000" w:themeColor="text1"/>
          <w:spacing w:val="-10"/>
          <w:sz w:val="28"/>
          <w:szCs w:val="28"/>
          <w14:textFill>
            <w14:solidFill>
              <w14:schemeClr w14:val="tx1"/>
            </w14:solidFill>
          </w14:textFill>
        </w:rPr>
      </w:pPr>
      <w:bookmarkStart w:id="0" w:name="_GoBack"/>
      <w:bookmarkEnd w:id="0"/>
      <w:r>
        <w:rPr>
          <w:rFonts w:hint="eastAsia" w:ascii="仿宋" w:hAnsi="仿宋" w:eastAsia="仿宋" w:cs="仿宋"/>
          <w:color w:val="000000" w:themeColor="text1"/>
          <w:spacing w:val="-10"/>
          <w:sz w:val="28"/>
          <w:szCs w:val="28"/>
          <w14:textFill>
            <w14:solidFill>
              <w14:schemeClr w14:val="tx1"/>
            </w14:solidFill>
          </w14:textFill>
        </w:rPr>
        <w:t>3.2判定原则</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经检验，检验项目全部合格，判定为被抽查产品</w:t>
      </w:r>
      <w:r>
        <w:rPr>
          <w:rFonts w:hint="eastAsia" w:ascii="仿宋" w:hAnsi="仿宋" w:eastAsia="仿宋" w:cs="仿宋"/>
          <w:color w:val="000000" w:themeColor="text1"/>
          <w:spacing w:val="-10"/>
          <w:sz w:val="28"/>
          <w:szCs w:val="28"/>
          <w:lang w:eastAsia="zh-CN"/>
          <w14:textFill>
            <w14:solidFill>
              <w14:schemeClr w14:val="tx1"/>
            </w14:solidFill>
          </w14:textFill>
        </w:rPr>
        <w:t>所检项目</w:t>
      </w:r>
      <w:r>
        <w:rPr>
          <w:rFonts w:hint="eastAsia" w:ascii="仿宋" w:hAnsi="仿宋" w:eastAsia="仿宋" w:cs="仿宋"/>
          <w:color w:val="000000" w:themeColor="text1"/>
          <w:spacing w:val="-10"/>
          <w:sz w:val="28"/>
          <w:szCs w:val="28"/>
          <w:lang w:val="en-US" w:eastAsia="zh-CN"/>
          <w14:textFill>
            <w14:solidFill>
              <w14:schemeClr w14:val="tx1"/>
            </w14:solidFill>
          </w14:textFill>
        </w:rPr>
        <w:t>未发现不</w:t>
      </w:r>
      <w:r>
        <w:rPr>
          <w:rFonts w:hint="eastAsia" w:ascii="仿宋" w:hAnsi="仿宋" w:eastAsia="仿宋" w:cs="仿宋"/>
          <w:color w:val="000000" w:themeColor="text1"/>
          <w:spacing w:val="-10"/>
          <w:sz w:val="28"/>
          <w:szCs w:val="28"/>
          <w14:textFill>
            <w14:solidFill>
              <w14:schemeClr w14:val="tx1"/>
            </w14:solidFill>
          </w14:textFill>
        </w:rPr>
        <w:t>合格；检验项目中任一项或一项以上不合格，判定为被抽查产品不合格。</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若被检产品明示的质量要求高于本细则中检验项目依据的标准要求时，应按被检产品明示的质量要求判定。</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若被检产品明示的质量要求低于本细则中检验项目依据的强制性标准要求时，应按照强制性标准要求判定。</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若被检产品明示的质量要求低于或包含本细则中检验项目依据的推荐性标准要求时，应以被检产品明示的质量要求判定。</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若被检产品明示的质量要求缺少本细则中检验项目依据的强制性标准要求时，应按照强制性标准要求判定。</w:t>
      </w:r>
    </w:p>
    <w:p>
      <w:pPr>
        <w:widowControl/>
        <w:ind w:firstLine="465"/>
        <w:jc w:val="left"/>
        <w:rPr>
          <w:rFonts w:ascii="仿宋" w:hAnsi="仿宋" w:eastAsia="仿宋" w:cs="仿宋"/>
          <w:color w:val="000000" w:themeColor="text1"/>
          <w:spacing w:val="-10"/>
          <w:sz w:val="28"/>
          <w:szCs w:val="28"/>
          <w14:textFill>
            <w14:solidFill>
              <w14:schemeClr w14:val="tx1"/>
            </w14:solidFill>
          </w14:textFill>
        </w:rPr>
      </w:pPr>
      <w:r>
        <w:rPr>
          <w:rFonts w:hint="eastAsia" w:ascii="仿宋" w:hAnsi="仿宋" w:eastAsia="仿宋" w:cs="仿宋"/>
          <w:color w:val="000000" w:themeColor="text1"/>
          <w:spacing w:val="-10"/>
          <w:sz w:val="28"/>
          <w:szCs w:val="28"/>
          <w14:textFill>
            <w14:solidFill>
              <w14:schemeClr w14:val="tx1"/>
            </w14:solidFill>
          </w14:textFill>
        </w:rPr>
        <w:t>若被检产品明示的质量要求缺少本细则中检验项目依据的推荐性标准要求时，该项目不参与判定。</w:t>
      </w:r>
    </w:p>
    <w:p>
      <w:pPr>
        <w:widowControl/>
        <w:ind w:firstLine="465"/>
        <w:jc w:val="left"/>
        <w:rPr>
          <w:rFonts w:ascii="仿宋" w:hAnsi="仿宋" w:eastAsia="仿宋" w:cs="仿宋"/>
          <w:color w:val="000000"/>
          <w:spacing w:val="-1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jN2UxNjU2MDE4OGIxZjY4NmMxNzA0M2Y2OGFlMzYifQ=="/>
  </w:docVars>
  <w:rsids>
    <w:rsidRoot w:val="00DC0F2E"/>
    <w:rsid w:val="00014D9B"/>
    <w:rsid w:val="00017C84"/>
    <w:rsid w:val="00030AE9"/>
    <w:rsid w:val="000974EE"/>
    <w:rsid w:val="000C5367"/>
    <w:rsid w:val="000D7874"/>
    <w:rsid w:val="000D7B97"/>
    <w:rsid w:val="000F499B"/>
    <w:rsid w:val="00137782"/>
    <w:rsid w:val="00150703"/>
    <w:rsid w:val="001641F9"/>
    <w:rsid w:val="00172146"/>
    <w:rsid w:val="00177E0B"/>
    <w:rsid w:val="00180380"/>
    <w:rsid w:val="001B3260"/>
    <w:rsid w:val="001D01F5"/>
    <w:rsid w:val="001E03A1"/>
    <w:rsid w:val="002068D8"/>
    <w:rsid w:val="00206B7D"/>
    <w:rsid w:val="00222034"/>
    <w:rsid w:val="00253C17"/>
    <w:rsid w:val="002803B7"/>
    <w:rsid w:val="0028351A"/>
    <w:rsid w:val="002B7C84"/>
    <w:rsid w:val="002F6037"/>
    <w:rsid w:val="0037194D"/>
    <w:rsid w:val="00372506"/>
    <w:rsid w:val="00383974"/>
    <w:rsid w:val="003876F2"/>
    <w:rsid w:val="00390D80"/>
    <w:rsid w:val="003B2924"/>
    <w:rsid w:val="00406033"/>
    <w:rsid w:val="00415040"/>
    <w:rsid w:val="00422544"/>
    <w:rsid w:val="0042777F"/>
    <w:rsid w:val="00446EE1"/>
    <w:rsid w:val="00452094"/>
    <w:rsid w:val="0049505F"/>
    <w:rsid w:val="004D0E0A"/>
    <w:rsid w:val="004D71FD"/>
    <w:rsid w:val="005064CE"/>
    <w:rsid w:val="00523769"/>
    <w:rsid w:val="00535C6C"/>
    <w:rsid w:val="00553C0F"/>
    <w:rsid w:val="0056136D"/>
    <w:rsid w:val="0057053F"/>
    <w:rsid w:val="00574722"/>
    <w:rsid w:val="005A4564"/>
    <w:rsid w:val="005B70FF"/>
    <w:rsid w:val="005C77CB"/>
    <w:rsid w:val="005D32B0"/>
    <w:rsid w:val="005D6B26"/>
    <w:rsid w:val="005E396A"/>
    <w:rsid w:val="005E72CD"/>
    <w:rsid w:val="006035EF"/>
    <w:rsid w:val="006334E1"/>
    <w:rsid w:val="00634ECF"/>
    <w:rsid w:val="00640CAC"/>
    <w:rsid w:val="006561AE"/>
    <w:rsid w:val="006622E0"/>
    <w:rsid w:val="006624E8"/>
    <w:rsid w:val="00675DB1"/>
    <w:rsid w:val="006762D0"/>
    <w:rsid w:val="006A1146"/>
    <w:rsid w:val="006A2CDE"/>
    <w:rsid w:val="006B7FC4"/>
    <w:rsid w:val="006C7C7A"/>
    <w:rsid w:val="006D3660"/>
    <w:rsid w:val="00704368"/>
    <w:rsid w:val="00711B5C"/>
    <w:rsid w:val="0073754B"/>
    <w:rsid w:val="00744839"/>
    <w:rsid w:val="007775CB"/>
    <w:rsid w:val="007B43C4"/>
    <w:rsid w:val="007D3590"/>
    <w:rsid w:val="007D6750"/>
    <w:rsid w:val="008014E2"/>
    <w:rsid w:val="00812206"/>
    <w:rsid w:val="008660D2"/>
    <w:rsid w:val="008724BB"/>
    <w:rsid w:val="008C0C08"/>
    <w:rsid w:val="008C253C"/>
    <w:rsid w:val="008D3DED"/>
    <w:rsid w:val="008F4369"/>
    <w:rsid w:val="00913A26"/>
    <w:rsid w:val="00915CA3"/>
    <w:rsid w:val="00954D8A"/>
    <w:rsid w:val="00977C23"/>
    <w:rsid w:val="00997F84"/>
    <w:rsid w:val="009A6C8E"/>
    <w:rsid w:val="009E4B0F"/>
    <w:rsid w:val="009F0636"/>
    <w:rsid w:val="00A05CFA"/>
    <w:rsid w:val="00A1407C"/>
    <w:rsid w:val="00A22D86"/>
    <w:rsid w:val="00A233CA"/>
    <w:rsid w:val="00A33429"/>
    <w:rsid w:val="00A37D62"/>
    <w:rsid w:val="00A51FC9"/>
    <w:rsid w:val="00A54937"/>
    <w:rsid w:val="00A8059A"/>
    <w:rsid w:val="00A96E05"/>
    <w:rsid w:val="00A97D21"/>
    <w:rsid w:val="00AB704F"/>
    <w:rsid w:val="00AD7EF1"/>
    <w:rsid w:val="00AF1713"/>
    <w:rsid w:val="00AF423E"/>
    <w:rsid w:val="00B22458"/>
    <w:rsid w:val="00B2498A"/>
    <w:rsid w:val="00B53407"/>
    <w:rsid w:val="00B575DD"/>
    <w:rsid w:val="00B96D64"/>
    <w:rsid w:val="00C02A04"/>
    <w:rsid w:val="00C50847"/>
    <w:rsid w:val="00C734B8"/>
    <w:rsid w:val="00C85642"/>
    <w:rsid w:val="00C869EC"/>
    <w:rsid w:val="00CC2FE7"/>
    <w:rsid w:val="00CE6C08"/>
    <w:rsid w:val="00D35BC7"/>
    <w:rsid w:val="00D57E39"/>
    <w:rsid w:val="00D85F10"/>
    <w:rsid w:val="00DA2D57"/>
    <w:rsid w:val="00DB78C7"/>
    <w:rsid w:val="00DB7A65"/>
    <w:rsid w:val="00DC0F2E"/>
    <w:rsid w:val="00DC2EB3"/>
    <w:rsid w:val="00DD7184"/>
    <w:rsid w:val="00E4221F"/>
    <w:rsid w:val="00E677DD"/>
    <w:rsid w:val="00EA26C4"/>
    <w:rsid w:val="00EA7F17"/>
    <w:rsid w:val="00EC3A27"/>
    <w:rsid w:val="00EE7E64"/>
    <w:rsid w:val="00F01AB6"/>
    <w:rsid w:val="00F052B1"/>
    <w:rsid w:val="00F24ED1"/>
    <w:rsid w:val="00F85195"/>
    <w:rsid w:val="01484FA4"/>
    <w:rsid w:val="01BB7564"/>
    <w:rsid w:val="058E6BD9"/>
    <w:rsid w:val="21863561"/>
    <w:rsid w:val="22014F16"/>
    <w:rsid w:val="26DA3479"/>
    <w:rsid w:val="2C944DC9"/>
    <w:rsid w:val="3569076C"/>
    <w:rsid w:val="3A2412FF"/>
    <w:rsid w:val="3C4562A2"/>
    <w:rsid w:val="3CBF7F42"/>
    <w:rsid w:val="3F076B58"/>
    <w:rsid w:val="49B17E7B"/>
    <w:rsid w:val="59867E20"/>
    <w:rsid w:val="59FB5B93"/>
    <w:rsid w:val="5DF54136"/>
    <w:rsid w:val="5F8B3D1C"/>
    <w:rsid w:val="65095BA8"/>
    <w:rsid w:val="682E615B"/>
    <w:rsid w:val="6E841DDA"/>
    <w:rsid w:val="756C0D83"/>
    <w:rsid w:val="7D9E3E48"/>
    <w:rsid w:val="7FFB30D5"/>
    <w:rsid w:val="EBFDAF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0"/>
    <w:qFormat/>
    <w:uiPriority w:val="0"/>
    <w:pPr>
      <w:spacing w:after="120"/>
      <w:ind w:left="420" w:leftChars="200"/>
    </w:pPr>
    <w:rPr>
      <w:sz w:val="16"/>
      <w:szCs w:val="16"/>
    </w:rPr>
  </w:style>
  <w:style w:type="character" w:customStyle="1" w:styleId="8">
    <w:name w:val="页眉 Char"/>
    <w:basedOn w:val="7"/>
    <w:link w:val="4"/>
    <w:qFormat/>
    <w:uiPriority w:val="0"/>
    <w:rPr>
      <w:kern w:val="2"/>
      <w:sz w:val="18"/>
      <w:szCs w:val="18"/>
    </w:rPr>
  </w:style>
  <w:style w:type="character" w:customStyle="1" w:styleId="9">
    <w:name w:val="页脚 Char"/>
    <w:basedOn w:val="7"/>
    <w:link w:val="3"/>
    <w:qFormat/>
    <w:uiPriority w:val="0"/>
    <w:rPr>
      <w:kern w:val="2"/>
      <w:sz w:val="18"/>
      <w:szCs w:val="18"/>
    </w:rPr>
  </w:style>
  <w:style w:type="character" w:customStyle="1" w:styleId="10">
    <w:name w:val="正文文本缩进 3 Char"/>
    <w:basedOn w:val="7"/>
    <w:link w:val="5"/>
    <w:qFormat/>
    <w:uiPriority w:val="0"/>
    <w:rPr>
      <w:kern w:val="2"/>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664</Words>
  <Characters>711</Characters>
  <Lines>3</Lines>
  <Paragraphs>1</Paragraphs>
  <TotalTime>10</TotalTime>
  <ScaleCrop>false</ScaleCrop>
  <LinksUpToDate>false</LinksUpToDate>
  <CharactersWithSpaces>723</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2022-05-24T18:20:00Z</dcterms:created>
  <dc:creator>Administrator</dc:creator>
  <cp:lastModifiedBy>user</cp:lastModifiedBy>
  <dcterms:modified xsi:type="dcterms:W3CDTF">2023-08-02T16:31:59Z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3AFA4725D3C54EBA9BEB6D2D7FA658AD_13</vt:lpwstr>
  </property>
</Properties>
</file>