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center"/>
        <w:rPr>
          <w:rFonts w:ascii="方正小标宋简体" w:hAnsi="方正小标宋简体" w:eastAsia="方正小标宋简体" w:cs="方正仿宋简体"/>
          <w:b/>
          <w:color w:val="000000"/>
          <w:sz w:val="32"/>
          <w:szCs w:val="32"/>
        </w:rPr>
      </w:pPr>
      <w:r>
        <w:rPr>
          <w:rFonts w:hint="eastAsia" w:ascii="方正小标宋简体" w:hAnsi="方正小标宋简体" w:eastAsia="方正小标宋简体" w:cs="方正仿宋简体"/>
          <w:b/>
          <w:color w:val="000000"/>
          <w:sz w:val="32"/>
          <w:szCs w:val="32"/>
        </w:rPr>
        <w:t>长春市2023年塑料购物袋产品质量监督抽查实施细则</w:t>
      </w:r>
    </w:p>
    <w:p>
      <w:pPr>
        <w:spacing w:line="360" w:lineRule="auto"/>
        <w:rPr>
          <w:rFonts w:hint="eastAsia" w:ascii="黑体" w:hAnsi="黑体" w:eastAsia="黑体" w:cs="黑体"/>
          <w:color w:val="000000"/>
          <w:szCs w:val="21"/>
        </w:rPr>
      </w:pPr>
    </w:p>
    <w:p>
      <w:pPr>
        <w:spacing w:line="360" w:lineRule="auto"/>
        <w:rPr>
          <w:rFonts w:ascii="黑体" w:hAnsi="黑体" w:eastAsia="黑体" w:cs="黑体"/>
          <w:color w:val="000000"/>
          <w:szCs w:val="21"/>
        </w:rPr>
      </w:pPr>
      <w:bookmarkStart w:id="0" w:name="_GoBack"/>
      <w:bookmarkEnd w:id="0"/>
      <w:r>
        <w:rPr>
          <w:rFonts w:hint="eastAsia" w:ascii="黑体" w:hAnsi="黑体" w:eastAsia="黑体" w:cs="黑体"/>
          <w:color w:val="000000"/>
          <w:szCs w:val="21"/>
        </w:rPr>
        <w:t>1抽样方法</w:t>
      </w:r>
    </w:p>
    <w:p>
      <w:pPr>
        <w:spacing w:line="360" w:lineRule="auto"/>
        <w:ind w:firstLine="408" w:firstLineChars="200"/>
        <w:rPr>
          <w:rFonts w:ascii="Times New Roman" w:hAnsi="Times New Roman" w:eastAsia="宋体" w:cs="Times New Roman"/>
          <w:color w:val="000000"/>
          <w:szCs w:val="21"/>
        </w:rPr>
      </w:pPr>
      <w:r>
        <w:rPr>
          <w:rFonts w:ascii="Times New Roman" w:hAnsi="Times New Roman" w:eastAsia="宋体" w:cs="Times New Roman"/>
          <w:color w:val="000000"/>
          <w:szCs w:val="21"/>
        </w:rPr>
        <w:t>以随机抽样的方式在被抽样生产者、销售者的待销产品中抽取</w:t>
      </w:r>
      <w:r>
        <w:rPr>
          <w:rFonts w:hint="eastAsia" w:ascii="Times New Roman" w:hAnsi="Times New Roman" w:eastAsia="宋体" w:cs="Times New Roman"/>
          <w:color w:val="000000"/>
          <w:szCs w:val="21"/>
        </w:rPr>
        <w:t>。</w:t>
      </w:r>
    </w:p>
    <w:p>
      <w:pPr>
        <w:spacing w:line="360" w:lineRule="auto"/>
        <w:ind w:firstLine="408" w:firstLineChars="200"/>
        <w:rPr>
          <w:rFonts w:ascii="宋体" w:hAnsi="宋体" w:eastAsia="宋体" w:cs="黑体"/>
          <w:color w:val="000000"/>
          <w:szCs w:val="21"/>
        </w:rPr>
      </w:pPr>
      <w:r>
        <w:rPr>
          <w:rFonts w:ascii="宋体" w:hAnsi="宋体" w:eastAsia="宋体" w:cs="黑体"/>
          <w:color w:val="000000"/>
          <w:szCs w:val="21"/>
        </w:rPr>
        <w:t>随机数一般可使用随机数表等方法产生。</w:t>
      </w:r>
    </w:p>
    <w:p>
      <w:pPr>
        <w:spacing w:line="360" w:lineRule="auto"/>
        <w:ind w:firstLine="408" w:firstLineChars="200"/>
        <w:rPr>
          <w:rFonts w:ascii="宋体" w:hAnsi="宋体" w:eastAsia="宋体" w:cs="黑体"/>
          <w:color w:val="000000"/>
          <w:szCs w:val="21"/>
        </w:rPr>
      </w:pPr>
      <w:r>
        <w:rPr>
          <w:rFonts w:ascii="宋体" w:hAnsi="宋体" w:eastAsia="宋体" w:cs="黑体"/>
          <w:color w:val="000000"/>
          <w:szCs w:val="21"/>
        </w:rPr>
        <w:t>每批次产品抽取样品</w:t>
      </w:r>
      <w:r>
        <w:rPr>
          <w:rFonts w:hint="eastAsia" w:ascii="宋体" w:hAnsi="宋体" w:eastAsia="宋体" w:cs="黑体"/>
          <w:color w:val="000000"/>
          <w:szCs w:val="21"/>
        </w:rPr>
        <w:t>15个</w:t>
      </w:r>
      <w:r>
        <w:rPr>
          <w:rFonts w:ascii="宋体" w:hAnsi="宋体" w:eastAsia="宋体" w:cs="黑体"/>
          <w:color w:val="000000"/>
          <w:szCs w:val="21"/>
        </w:rPr>
        <w:t>，其中</w:t>
      </w:r>
      <w:r>
        <w:rPr>
          <w:rFonts w:hint="eastAsia" w:ascii="宋体" w:hAnsi="宋体" w:eastAsia="宋体" w:cs="黑体"/>
          <w:color w:val="000000"/>
          <w:szCs w:val="21"/>
        </w:rPr>
        <w:t>10个</w:t>
      </w:r>
      <w:r>
        <w:rPr>
          <w:rFonts w:ascii="宋体" w:hAnsi="宋体" w:eastAsia="宋体" w:cs="黑体"/>
          <w:color w:val="000000"/>
          <w:szCs w:val="21"/>
        </w:rPr>
        <w:t>作为检验样品，</w:t>
      </w:r>
      <w:r>
        <w:rPr>
          <w:rFonts w:hint="eastAsia" w:ascii="宋体" w:hAnsi="宋体" w:eastAsia="宋体" w:cs="黑体"/>
          <w:color w:val="000000"/>
          <w:szCs w:val="21"/>
        </w:rPr>
        <w:t>5个</w:t>
      </w:r>
      <w:r>
        <w:rPr>
          <w:rFonts w:ascii="宋体" w:hAnsi="宋体" w:eastAsia="宋体" w:cs="黑体"/>
          <w:color w:val="000000"/>
          <w:szCs w:val="21"/>
        </w:rPr>
        <w:t>作为备用样品。</w:t>
      </w:r>
    </w:p>
    <w:p>
      <w:pPr>
        <w:spacing w:line="360" w:lineRule="auto"/>
        <w:rPr>
          <w:rFonts w:ascii="宋体" w:hAnsi="宋体" w:eastAsia="宋体" w:cs="黑体"/>
          <w:color w:val="000000"/>
          <w:szCs w:val="21"/>
        </w:rPr>
      </w:pPr>
    </w:p>
    <w:p>
      <w:pPr>
        <w:spacing w:line="360" w:lineRule="auto"/>
        <w:rPr>
          <w:rFonts w:hint="eastAsia" w:ascii="黑体" w:hAnsi="黑体" w:eastAsia="黑体" w:cs="黑体"/>
          <w:color w:val="000000"/>
          <w:szCs w:val="21"/>
        </w:rPr>
      </w:pPr>
      <w:r>
        <w:rPr>
          <w:rFonts w:hint="eastAsia" w:ascii="黑体" w:hAnsi="黑体" w:eastAsia="黑体" w:cs="黑体"/>
          <w:color w:val="000000"/>
          <w:szCs w:val="21"/>
        </w:rPr>
        <w:t>2检验依据</w:t>
      </w:r>
    </w:p>
    <w:p>
      <w:pPr>
        <w:spacing w:line="360" w:lineRule="auto"/>
        <w:rPr>
          <w:rFonts w:hint="eastAsia" w:ascii="黑体" w:hAnsi="黑体" w:eastAsia="黑体" w:cs="黑体"/>
          <w:color w:val="000000"/>
          <w:szCs w:val="21"/>
        </w:rPr>
      </w:pPr>
    </w:p>
    <w:tbl>
      <w:tblPr>
        <w:tblStyle w:val="5"/>
        <w:tblW w:w="6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544"/>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blHeader/>
          <w:jc w:val="center"/>
        </w:trPr>
        <w:tc>
          <w:tcPr>
            <w:tcW w:w="709" w:type="dxa"/>
            <w:vAlign w:val="center"/>
          </w:tcPr>
          <w:p>
            <w:pPr>
              <w:widowControl/>
              <w:jc w:val="left"/>
              <w:rPr>
                <w:rFonts w:ascii="宋体" w:hAnsi="宋体" w:eastAsia="宋体" w:cs="宋体"/>
                <w:color w:val="000000"/>
                <w:szCs w:val="21"/>
              </w:rPr>
            </w:pPr>
            <w:r>
              <w:rPr>
                <w:rFonts w:hint="eastAsia" w:ascii="宋体" w:hAnsi="宋体" w:eastAsia="宋体" w:cs="宋体"/>
                <w:color w:val="000000"/>
                <w:szCs w:val="21"/>
              </w:rPr>
              <w:t>序号</w:t>
            </w:r>
          </w:p>
        </w:tc>
        <w:tc>
          <w:tcPr>
            <w:tcW w:w="354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检验项目</w:t>
            </w:r>
          </w:p>
        </w:tc>
        <w:tc>
          <w:tcPr>
            <w:tcW w:w="2552"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09"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1</w:t>
            </w:r>
          </w:p>
        </w:tc>
        <w:tc>
          <w:tcPr>
            <w:tcW w:w="3544" w:type="dxa"/>
            <w:vAlign w:val="center"/>
          </w:tcPr>
          <w:p>
            <w:pPr>
              <w:widowControl/>
              <w:jc w:val="center"/>
              <w:rPr>
                <w:rFonts w:ascii="仿宋" w:hAnsi="仿宋" w:eastAsia="仿宋" w:cs="宋体"/>
                <w:color w:val="000000"/>
                <w:szCs w:val="21"/>
              </w:rPr>
            </w:pPr>
            <w:r>
              <w:rPr>
                <w:rFonts w:hint="eastAsia" w:ascii="仿宋" w:hAnsi="仿宋" w:eastAsia="仿宋" w:cs="宋体"/>
                <w:color w:val="000000"/>
                <w:szCs w:val="21"/>
              </w:rPr>
              <w:t>厚度及偏差</w:t>
            </w:r>
          </w:p>
        </w:tc>
        <w:tc>
          <w:tcPr>
            <w:tcW w:w="2552" w:type="dxa"/>
            <w:vAlign w:val="center"/>
          </w:tcPr>
          <w:p>
            <w:pPr>
              <w:widowControl/>
              <w:jc w:val="center"/>
              <w:rPr>
                <w:rFonts w:ascii="宋体" w:hAnsi="宋体" w:eastAsia="宋体" w:cs="宋体"/>
                <w:color w:val="000000"/>
                <w:szCs w:val="21"/>
              </w:rPr>
            </w:pPr>
            <w:r>
              <w:rPr>
                <w:rFonts w:ascii="宋体" w:hAnsi="宋体" w:eastAsia="宋体" w:cs="宋体"/>
                <w:szCs w:val="21"/>
              </w:rPr>
              <w:t>GB/T 6672-2001</w:t>
            </w:r>
          </w:p>
        </w:tc>
      </w:tr>
    </w:tbl>
    <w:p>
      <w:pPr>
        <w:spacing w:line="360" w:lineRule="auto"/>
        <w:ind w:firstLine="408" w:firstLineChars="200"/>
        <w:jc w:val="left"/>
        <w:rPr>
          <w:rFonts w:ascii="宋体" w:hAnsi="宋体" w:eastAsia="宋体" w:cs="方正仿宋简体"/>
          <w:color w:val="000000"/>
          <w:szCs w:val="21"/>
        </w:rPr>
      </w:pPr>
    </w:p>
    <w:p>
      <w:pPr>
        <w:snapToGrid w:val="0"/>
        <w:spacing w:line="440" w:lineRule="exact"/>
        <w:ind w:firstLine="408" w:firstLineChars="200"/>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执行企业标准、团体标准、地方标准及其他符合相关法律法规及国家有关规定的标准，检验项目参照上述内容执行。</w:t>
      </w:r>
    </w:p>
    <w:p>
      <w:pPr>
        <w:snapToGrid w:val="0"/>
        <w:spacing w:line="440" w:lineRule="exact"/>
        <w:ind w:firstLine="408" w:firstLineChars="200"/>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凡是注日期的文件，其随后所有的修改单（不包括勘误的内容）或修订版不适用于本细则。凡是不注日期的文件，其最新版本适用于本细则。</w:t>
      </w:r>
    </w:p>
    <w:p>
      <w:pPr>
        <w:spacing w:line="360" w:lineRule="auto"/>
        <w:rPr>
          <w:rFonts w:ascii="黑体" w:hAnsi="黑体" w:eastAsia="黑体" w:cs="黑体"/>
          <w:color w:val="000000"/>
          <w:szCs w:val="21"/>
        </w:rPr>
      </w:pPr>
      <w:r>
        <w:rPr>
          <w:rFonts w:hint="eastAsia" w:ascii="黑体" w:hAnsi="黑体" w:eastAsia="黑体" w:cs="黑体"/>
          <w:color w:val="000000"/>
          <w:szCs w:val="21"/>
        </w:rPr>
        <w:t>3判定规则</w:t>
      </w:r>
    </w:p>
    <w:p>
      <w:pPr>
        <w:spacing w:line="360" w:lineRule="auto"/>
        <w:rPr>
          <w:rFonts w:ascii="宋体" w:hAnsi="宋体" w:eastAsia="宋体" w:cs="楷体_GB2312"/>
          <w:color w:val="000000"/>
          <w:szCs w:val="21"/>
        </w:rPr>
      </w:pPr>
      <w:r>
        <w:rPr>
          <w:rFonts w:hint="eastAsia" w:ascii="宋体" w:hAnsi="宋体" w:eastAsia="宋体" w:cs="楷体_GB2312"/>
          <w:color w:val="000000"/>
          <w:szCs w:val="21"/>
        </w:rPr>
        <w:t>3.1依据标准</w:t>
      </w:r>
    </w:p>
    <w:p>
      <w:pPr>
        <w:snapToGrid w:val="0"/>
        <w:spacing w:line="440" w:lineRule="exact"/>
        <w:ind w:firstLine="349" w:firstLineChars="171"/>
        <w:rPr>
          <w:rFonts w:ascii="Times New Roman" w:hAnsi="Times New Roman" w:eastAsia="宋体" w:cs="Times New Roman"/>
          <w:color w:val="000000"/>
          <w:szCs w:val="21"/>
        </w:rPr>
      </w:pPr>
      <w:r>
        <w:rPr>
          <w:rFonts w:ascii="Times New Roman" w:hAnsi="Times New Roman" w:eastAsia="宋体" w:cs="Times New Roman"/>
          <w:color w:val="000000"/>
          <w:szCs w:val="21"/>
        </w:rPr>
        <w:t>GB/T 21661-2020《塑料购物袋》</w:t>
      </w:r>
    </w:p>
    <w:p>
      <w:pPr>
        <w:spacing w:line="440" w:lineRule="exact"/>
        <w:ind w:firstLine="349" w:firstLineChars="171"/>
        <w:rPr>
          <w:rFonts w:hint="eastAsia" w:ascii="宋体" w:hAnsi="宋体" w:eastAsia="宋体" w:cs="宋体"/>
          <w:color w:val="000000"/>
          <w:szCs w:val="21"/>
        </w:rPr>
      </w:pPr>
      <w:r>
        <w:rPr>
          <w:rFonts w:hint="eastAsia" w:ascii="宋体" w:hAnsi="宋体" w:eastAsia="宋体" w:cs="宋体"/>
          <w:color w:val="000000"/>
          <w:szCs w:val="21"/>
        </w:rPr>
        <w:t>《国家发展改革委 生态环境部关于进一步加强塑料污染治理的意见》发改环资〔2020〕80号</w:t>
      </w:r>
    </w:p>
    <w:p>
      <w:pPr>
        <w:spacing w:line="440" w:lineRule="exact"/>
        <w:ind w:firstLine="349" w:firstLineChars="171"/>
        <w:rPr>
          <w:rFonts w:hint="eastAsia" w:ascii="宋体" w:hAnsi="宋体" w:eastAsia="宋体" w:cs="宋体"/>
          <w:color w:val="000000"/>
          <w:szCs w:val="21"/>
        </w:rPr>
      </w:pPr>
      <w:r>
        <w:rPr>
          <w:rFonts w:hint="eastAsia" w:ascii="宋体" w:hAnsi="宋体" w:eastAsia="宋体" w:cs="宋体"/>
          <w:color w:val="000000"/>
          <w:szCs w:val="21"/>
        </w:rPr>
        <w:t>《关于扎实推进塑料污染治理工作的通知》发改环资〔2020〕1146号</w:t>
      </w:r>
    </w:p>
    <w:p>
      <w:pPr>
        <w:snapToGrid w:val="0"/>
        <w:spacing w:line="440" w:lineRule="exact"/>
        <w:ind w:firstLine="408" w:firstLineChars="200"/>
        <w:rPr>
          <w:rFonts w:ascii="Times New Roman" w:hAnsi="Times New Roman" w:eastAsia="宋体" w:cs="Times New Roman"/>
          <w:color w:val="000000"/>
          <w:szCs w:val="21"/>
        </w:rPr>
      </w:pPr>
      <w:r>
        <w:rPr>
          <w:rFonts w:ascii="Times New Roman" w:hAnsi="Times New Roman" w:eastAsia="宋体" w:cs="Times New Roman"/>
          <w:color w:val="000000"/>
          <w:szCs w:val="21"/>
        </w:rPr>
        <w:t>现行有效的企业标准、团体标准、地方标准及其他符合相关法律法规及国家有关规定的标准产品明示质量要求。</w:t>
      </w:r>
    </w:p>
    <w:p>
      <w:pPr>
        <w:spacing w:line="360" w:lineRule="auto"/>
        <w:rPr>
          <w:rFonts w:ascii="宋体" w:hAnsi="宋体" w:eastAsia="宋体" w:cs="楷体_GB2312"/>
          <w:color w:val="000000"/>
          <w:szCs w:val="21"/>
        </w:rPr>
      </w:pPr>
      <w:r>
        <w:rPr>
          <w:rFonts w:ascii="宋体" w:hAnsi="宋体" w:eastAsia="宋体" w:cs="楷体_GB2312"/>
          <w:color w:val="000000"/>
          <w:szCs w:val="21"/>
        </w:rPr>
        <w:t>3.2判定原则</w:t>
      </w:r>
    </w:p>
    <w:p>
      <w:pPr>
        <w:spacing w:line="360" w:lineRule="auto"/>
        <w:ind w:firstLine="408" w:firstLineChars="200"/>
        <w:rPr>
          <w:rFonts w:ascii="宋体" w:hAnsi="宋体" w:eastAsia="宋体" w:cs="Times New Roman"/>
          <w:color w:val="FF0000"/>
          <w:szCs w:val="21"/>
        </w:rPr>
      </w:pPr>
      <w:r>
        <w:rPr>
          <w:rFonts w:hint="eastAsia" w:ascii="宋体" w:hAnsi="宋体" w:eastAsia="宋体" w:cs="Times New Roman"/>
          <w:szCs w:val="21"/>
        </w:rPr>
        <w:t>经检验，检验项目全部合格，判定为被抽查产品所检项目未发现不合格：检验项目中任意一项或一项以上不合格，判定为被抽查产品不合格。</w:t>
      </w:r>
    </w:p>
    <w:p>
      <w:pPr>
        <w:spacing w:line="360" w:lineRule="auto"/>
        <w:ind w:firstLine="408" w:firstLineChars="200"/>
        <w:rPr>
          <w:rFonts w:ascii="宋体" w:hAnsi="宋体" w:eastAsia="宋体" w:cs="Times New Roman"/>
          <w:szCs w:val="21"/>
        </w:rPr>
      </w:pPr>
      <w:r>
        <w:rPr>
          <w:rFonts w:hint="eastAsia" w:ascii="宋体" w:hAnsi="宋体" w:eastAsia="宋体" w:cs="Times New Roman"/>
          <w:szCs w:val="21"/>
        </w:rPr>
        <w:t>若被检产品明示的质量要求高于本细则中检验项目依据的标准要求时，应按被检产品明示的质量要求判定。</w:t>
      </w:r>
    </w:p>
    <w:p>
      <w:pPr>
        <w:spacing w:line="360" w:lineRule="auto"/>
        <w:ind w:firstLine="408" w:firstLineChars="200"/>
        <w:rPr>
          <w:rFonts w:ascii="宋体" w:hAnsi="宋体" w:eastAsia="宋体" w:cs="Times New Roman"/>
          <w:szCs w:val="21"/>
        </w:rPr>
      </w:pPr>
      <w:r>
        <w:rPr>
          <w:rFonts w:hint="eastAsia" w:ascii="宋体" w:hAnsi="宋体" w:eastAsia="宋体" w:cs="Times New Roman"/>
          <w:szCs w:val="21"/>
        </w:rPr>
        <w:t>若被检产品明示的质量要求低于本细则中检验项目依据的强制性标准要求时，应按照强制性标准要求判定。</w:t>
      </w:r>
    </w:p>
    <w:p>
      <w:pPr>
        <w:spacing w:line="360" w:lineRule="auto"/>
        <w:ind w:firstLine="408" w:firstLineChars="200"/>
        <w:rPr>
          <w:rFonts w:ascii="宋体" w:hAnsi="宋体" w:eastAsia="宋体" w:cs="Times New Roman"/>
          <w:szCs w:val="21"/>
        </w:rPr>
      </w:pPr>
      <w:r>
        <w:rPr>
          <w:rFonts w:hint="eastAsia" w:ascii="宋体" w:hAnsi="宋体" w:eastAsia="宋体" w:cs="Times New Roman"/>
          <w:szCs w:val="21"/>
        </w:rPr>
        <w:t>若被检产品明示的质量要求低于或包含本细则中检验项目依据的推荐性标准要求时，应以被检产品明示的质量要求判定。</w:t>
      </w:r>
    </w:p>
    <w:p>
      <w:pPr>
        <w:spacing w:line="360" w:lineRule="auto"/>
        <w:ind w:firstLine="408" w:firstLineChars="200"/>
        <w:rPr>
          <w:rFonts w:ascii="宋体" w:hAnsi="宋体" w:eastAsia="宋体" w:cs="Times New Roman"/>
          <w:szCs w:val="21"/>
        </w:rPr>
      </w:pPr>
      <w:r>
        <w:rPr>
          <w:rFonts w:hint="eastAsia" w:ascii="宋体" w:hAnsi="宋体" w:eastAsia="宋体" w:cs="Times New Roman"/>
          <w:szCs w:val="21"/>
        </w:rPr>
        <w:t>若被检产品明示的质量要求缺少本细则中检验项目依据的强制性标准要求时，应按照强制性标准要求判定。</w:t>
      </w:r>
    </w:p>
    <w:p>
      <w:pPr>
        <w:spacing w:line="360" w:lineRule="auto"/>
        <w:ind w:firstLine="408" w:firstLineChars="200"/>
        <w:rPr>
          <w:rFonts w:ascii="宋体" w:hAnsi="宋体" w:eastAsia="宋体" w:cs="Times New Roman"/>
          <w:szCs w:val="21"/>
        </w:rPr>
      </w:pPr>
      <w:r>
        <w:rPr>
          <w:rFonts w:hint="eastAsia" w:ascii="宋体" w:hAnsi="宋体" w:eastAsia="宋体" w:cs="Times New Roman"/>
          <w:szCs w:val="21"/>
        </w:rPr>
        <w:t>若被检产品明示的质量要求缺少本细则中检验项目依据的推荐性标准要求时，该项目不参与判定。</w:t>
      </w:r>
    </w:p>
    <w:p>
      <w:pPr>
        <w:spacing w:line="360" w:lineRule="auto"/>
        <w:ind w:firstLine="408" w:firstLineChars="200"/>
        <w:rPr>
          <w:rFonts w:ascii="宋体" w:hAnsi="宋体" w:eastAsia="宋体" w:cs="Times New Roman"/>
          <w:szCs w:val="21"/>
        </w:rPr>
      </w:pPr>
    </w:p>
    <w:sectPr>
      <w:footerReference r:id="rId3" w:type="default"/>
      <w:pgSz w:w="11906" w:h="16838"/>
      <w:pgMar w:top="1984" w:right="1474" w:bottom="1361" w:left="1474" w:header="851" w:footer="1361" w:gutter="0"/>
      <w:cols w:space="0" w:num="1"/>
      <w:docGrid w:type="linesAndChars" w:linePitch="298"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22985" cy="4610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22985" cy="461010"/>
                      </a:xfrm>
                      <a:prstGeom prst="rect">
                        <a:avLst/>
                      </a:prstGeom>
                      <a:noFill/>
                      <a:ln w="6350">
                        <a:noFill/>
                      </a:ln>
                      <a:effectLst/>
                    </wps:spPr>
                    <wps:txbx>
                      <w:txbxContent>
                        <w:sdt>
                          <w:sdtPr>
                            <w:rPr>
                              <w:rFonts w:hint="eastAsia" w:ascii="宋体" w:hAnsi="宋体" w:eastAsia="宋体" w:cs="宋体"/>
                              <w:sz w:val="28"/>
                              <w:szCs w:val="28"/>
                            </w:rPr>
                            <w:id w:val="-1261989823"/>
                          </w:sdtPr>
                          <w:sdtEndPr>
                            <w:rPr>
                              <w:rFonts w:hint="eastAsia" w:ascii="宋体" w:hAnsi="宋体" w:eastAsia="宋体" w:cs="宋体"/>
                              <w:sz w:val="28"/>
                              <w:szCs w:val="28"/>
                            </w:rPr>
                          </w:sdtEndPr>
                          <w:sdtContent>
                            <w:p>
                              <w:pPr>
                                <w:pStyle w:val="3"/>
                                <w:ind w:left="315" w:leftChars="150" w:right="315" w:rightChars="150"/>
                                <w:jc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sdtContent>
                        </w:sdt>
                        <w:p>
                          <w:pPr>
                            <w:rPr>
                              <w:rFonts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36.3pt;width:80.55pt;mso-position-horizontal:outside;mso-position-horizontal-relative:margin;mso-wrap-style:none;z-index:251659264;mso-width-relative:page;mso-height-relative:page;" filled="f" stroked="f" coordsize="21600,21600" o:gfxdata="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PZVzp0gAAAAQBAAAPAAAAAAAAAAEAIAAAACIAAABkcnMvZG93bnJldi54bWxQ&#10;SwECFAAUAAAACACHTuJAJjnYzjYCAABiBAAADgAAAAAAAAABACAAAAAhAQAAZHJzL2Uyb0RvYy54&#10;bWxQSwUGAAAAAAYABgBZAQAAyQUAAAAA&#10;">
              <v:fill on="f" focussize="0,0"/>
              <v:stroke on="f" weight="0.5pt"/>
              <v:imagedata o:title=""/>
              <o:lock v:ext="edit" aspectratio="f"/>
              <v:textbox inset="0mm,0mm,0mm,0mm" style="mso-fit-shape-to-text:t;">
                <w:txbxContent>
                  <w:sdt>
                    <w:sdtPr>
                      <w:rPr>
                        <w:rFonts w:hint="eastAsia" w:ascii="宋体" w:hAnsi="宋体" w:eastAsia="宋体" w:cs="宋体"/>
                        <w:sz w:val="28"/>
                        <w:szCs w:val="28"/>
                      </w:rPr>
                      <w:id w:val="-1261989823"/>
                    </w:sdtPr>
                    <w:sdtEndPr>
                      <w:rPr>
                        <w:rFonts w:hint="eastAsia" w:ascii="宋体" w:hAnsi="宋体" w:eastAsia="宋体" w:cs="宋体"/>
                        <w:sz w:val="28"/>
                        <w:szCs w:val="28"/>
                      </w:rPr>
                    </w:sdtEndPr>
                    <w:sdtContent>
                      <w:p>
                        <w:pPr>
                          <w:pStyle w:val="3"/>
                          <w:ind w:left="315" w:leftChars="150" w:right="315" w:rightChars="150"/>
                          <w:jc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sdtContent>
                  </w:sdt>
                  <w:p>
                    <w:pPr>
                      <w:rPr>
                        <w:rFonts w:ascii="宋体" w:hAnsi="宋体" w:eastAsia="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2ZDk2ZDEyZjBhMWM0NWYxYzBjMTI5ZTc0MTMyMTIifQ=="/>
  </w:docVars>
  <w:rsids>
    <w:rsidRoot w:val="008E52DB"/>
    <w:rsid w:val="00080B9D"/>
    <w:rsid w:val="000E0EB4"/>
    <w:rsid w:val="000E26E8"/>
    <w:rsid w:val="001064BD"/>
    <w:rsid w:val="0011201C"/>
    <w:rsid w:val="001526F5"/>
    <w:rsid w:val="001B421D"/>
    <w:rsid w:val="001D5AC1"/>
    <w:rsid w:val="001F502B"/>
    <w:rsid w:val="002A23C0"/>
    <w:rsid w:val="002B6A11"/>
    <w:rsid w:val="002C2DA0"/>
    <w:rsid w:val="00307F29"/>
    <w:rsid w:val="003519D1"/>
    <w:rsid w:val="003553ED"/>
    <w:rsid w:val="0036078B"/>
    <w:rsid w:val="003A1C9A"/>
    <w:rsid w:val="0044768F"/>
    <w:rsid w:val="00464B33"/>
    <w:rsid w:val="00485972"/>
    <w:rsid w:val="004A5D1E"/>
    <w:rsid w:val="005A04BD"/>
    <w:rsid w:val="005A2804"/>
    <w:rsid w:val="005C7FFD"/>
    <w:rsid w:val="00630347"/>
    <w:rsid w:val="006B7209"/>
    <w:rsid w:val="006E70CE"/>
    <w:rsid w:val="00741EC8"/>
    <w:rsid w:val="00743DA7"/>
    <w:rsid w:val="007F69CC"/>
    <w:rsid w:val="0080750C"/>
    <w:rsid w:val="00812DEC"/>
    <w:rsid w:val="00834F4F"/>
    <w:rsid w:val="00861C4A"/>
    <w:rsid w:val="00883F9E"/>
    <w:rsid w:val="008B4015"/>
    <w:rsid w:val="008E52DB"/>
    <w:rsid w:val="008E59D2"/>
    <w:rsid w:val="00950899"/>
    <w:rsid w:val="009542FA"/>
    <w:rsid w:val="009572CD"/>
    <w:rsid w:val="00965B9B"/>
    <w:rsid w:val="009A6B1A"/>
    <w:rsid w:val="009C182C"/>
    <w:rsid w:val="009F7050"/>
    <w:rsid w:val="00A71C4B"/>
    <w:rsid w:val="00AC2809"/>
    <w:rsid w:val="00AD1E23"/>
    <w:rsid w:val="00B06734"/>
    <w:rsid w:val="00B414CF"/>
    <w:rsid w:val="00B57F1D"/>
    <w:rsid w:val="00C52033"/>
    <w:rsid w:val="00CD5474"/>
    <w:rsid w:val="00CD78A7"/>
    <w:rsid w:val="00CF0319"/>
    <w:rsid w:val="00CF709E"/>
    <w:rsid w:val="00D03CBC"/>
    <w:rsid w:val="00D77CF6"/>
    <w:rsid w:val="00DA2A43"/>
    <w:rsid w:val="00DF6C63"/>
    <w:rsid w:val="00E17CBA"/>
    <w:rsid w:val="00E4180D"/>
    <w:rsid w:val="00E44FAE"/>
    <w:rsid w:val="00E45292"/>
    <w:rsid w:val="00E519E6"/>
    <w:rsid w:val="00E57C9E"/>
    <w:rsid w:val="00E63904"/>
    <w:rsid w:val="00E77407"/>
    <w:rsid w:val="00E92E6A"/>
    <w:rsid w:val="00ED4C25"/>
    <w:rsid w:val="00EE5408"/>
    <w:rsid w:val="00F118E7"/>
    <w:rsid w:val="00F57F98"/>
    <w:rsid w:val="00F608F1"/>
    <w:rsid w:val="00F8383C"/>
    <w:rsid w:val="00F942A9"/>
    <w:rsid w:val="00FB421D"/>
    <w:rsid w:val="00FC5325"/>
    <w:rsid w:val="00FD55A5"/>
    <w:rsid w:val="00FF5723"/>
    <w:rsid w:val="0BFC44C1"/>
    <w:rsid w:val="15D11BA5"/>
    <w:rsid w:val="3E363EB6"/>
    <w:rsid w:val="4FE57093"/>
    <w:rsid w:val="51F25327"/>
    <w:rsid w:val="6E9D4B87"/>
    <w:rsid w:val="7020335D"/>
    <w:rsid w:val="7D1B2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680</Words>
  <Characters>722</Characters>
  <Lines>4</Lines>
  <Paragraphs>1</Paragraphs>
  <TotalTime>0</TotalTime>
  <ScaleCrop>false</ScaleCrop>
  <LinksUpToDate>false</LinksUpToDate>
  <CharactersWithSpaces>725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2023-02-23T07:23:00Z</dcterms:created>
  <dc:creator>QH-01</dc:creator>
  <cp:lastModifiedBy>张龙</cp:lastModifiedBy>
  <cp:lastPrinted>2023-02-17T07:20:00Z</cp:lastPrinted>
  <dcterms:modified xsi:type="dcterms:W3CDTF">2023-04-07T07:19:32Z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FF26A01484BD4DA3B37DC417A9C8506E</vt:lpwstr>
  </property>
</Properties>
</file>