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80" w:lineRule="exact"/>
        <w:ind w:firstLine="3080" w:firstLineChars="1100"/>
        <w:outlineLvl w:val="0"/>
        <w:rPr>
          <w:rFonts w:ascii="黑体" w:hAnsi="黑体" w:eastAsia="黑体"/>
          <w:bCs/>
          <w:kern w:val="36"/>
          <w:sz w:val="28"/>
          <w:szCs w:val="28"/>
        </w:rPr>
      </w:pPr>
      <w:bookmarkStart w:id="0" w:name="OLE_LINK4"/>
      <w:r>
        <w:rPr>
          <w:rFonts w:hint="eastAsia" w:ascii="黑体" w:hAnsi="黑体" w:eastAsia="黑体"/>
          <w:bCs/>
          <w:kern w:val="36"/>
          <w:sz w:val="28"/>
          <w:szCs w:val="28"/>
        </w:rPr>
        <w:t>长春市地方标准</w:t>
      </w:r>
    </w:p>
    <w:p>
      <w:pPr>
        <w:spacing w:after="156" w:afterLines="50" w:line="400" w:lineRule="exact"/>
        <w:jc w:val="center"/>
        <w:rPr>
          <w:rFonts w:ascii="黑体" w:hAnsi="黑体" w:eastAsia="黑体" w:cs="Times New Roman"/>
          <w:b/>
          <w:bCs/>
          <w:kern w:val="36"/>
          <w:sz w:val="28"/>
          <w:szCs w:val="28"/>
        </w:rPr>
      </w:pPr>
      <w:r>
        <w:rPr>
          <w:rFonts w:hint="eastAsia" w:ascii="黑体" w:hAnsi="黑体" w:eastAsia="黑体" w:cs="Times New Roman"/>
          <w:b/>
          <w:bCs/>
          <w:kern w:val="36"/>
          <w:sz w:val="28"/>
          <w:szCs w:val="28"/>
        </w:rPr>
        <w:t>《马人工授精技术规范》</w:t>
      </w:r>
    </w:p>
    <w:p>
      <w:pPr>
        <w:widowControl/>
        <w:spacing w:before="100" w:beforeAutospacing="1" w:after="100" w:afterAutospacing="1" w:line="380" w:lineRule="exact"/>
        <w:jc w:val="center"/>
        <w:outlineLvl w:val="0"/>
        <w:rPr>
          <w:rFonts w:ascii="黑体" w:hAnsi="黑体" w:eastAsia="黑体"/>
          <w:bCs/>
          <w:kern w:val="36"/>
          <w:sz w:val="28"/>
          <w:szCs w:val="28"/>
        </w:rPr>
      </w:pPr>
      <w:r>
        <w:rPr>
          <w:rFonts w:hint="eastAsia" w:ascii="黑体" w:hAnsi="黑体" w:eastAsia="黑体"/>
          <w:bCs/>
          <w:kern w:val="36"/>
          <w:sz w:val="28"/>
          <w:szCs w:val="28"/>
        </w:rPr>
        <w:t>编制说明</w:t>
      </w:r>
    </w:p>
    <w:bookmarkEnd w:id="0"/>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一、工作简况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（一）任务来源</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根据长春市市场监督管理局《关于下发2022年长春市地方标准立项指南》要求，《马人工授精技术规范》 由长春市畜牧业管理局提出，待批准的长春市地方标准制（修）订项目。</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（二）起草单位、协作单位</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本标准由农安县畜牧总站、长春市畜牧总站、长春市标准研究院共同起草。 </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二、制（修）订标准的必要性、目的和意义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（一）必要性</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畜牧业种为先，良种是遗传信息由上一代传给下一代的载体，是新品种选育的基础，被称为“芯片”。国务院办公厅《关于加强农业种质资源保护与利用的意见》（国办发〔2019〕56号）指出，农业种质资源是保障国家粮食安全与重要农产品供给的战略性资源，是农业科技原始创新与现代种业发展的物质基础。一是加强种质资源活力与遗传完整性监测，及时繁殖与更新复壮，强化新技术应用。二是以优势科研院所、高等院校为依托，强化鉴定评价，提高利用效率，强化育种创新基础。三是建立健全种质资源保护单位要落实主体责任、健全管理制度、强化措施保障。保护体系，提升保护能力。四是加强对农业种质资源保护工作的政策扶持，强化基础保障。五是加强组织领导，落实政府的属地责任和农业种质资源保护单位的主体责任，将农业种质资源保护与利用工作纳入相关工作考核。</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（二）目的</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为进一步提升畜禽良种推广体系建设水平，有效提高良种覆盖率，切实保障“秸秆变肉”项目的顺利实施。提高每匹公马的配种匹数和母马的受胎率。同时，扩大马配种地区范围，保存种马精液，尤其是冷冻精液，便于携带运输，可使母马配种不受地区的限制和有效地解决无种公马或种公马不足地区的母马配种问题。</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（三）意义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的制定，既完善了我市畜牧业标准体系，又填补了我市在马人工授精技术标准的空白；本标准的实施可以提高优良种公马的配种效能，扩大配种母马的头数，同时可以选择最优良种公马进行人工授精。加速马繁育改良，促进育种进程由人工授精选用优良种公马，进而扩大良种遗传基因。有利的保证配种计划的实施和提供完善配种记录，促进马繁改和育种工作的进程。减少饲养种公畜数量，降低了饲养管理费用，提高了经济效益。可有效防止各种疾病，特别是生殖传染病的传播。</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三、主要起草过程</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应按标准制订程序划分的阶段编写：</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（一）预研阶段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标准起草单位农安县畜牧总站从2018年开始，会同长春市畜牧总站、长春市标准研究院研究和推广马人工授精技术，并在农安县、德惠市、九台区等县（市）区开展马人工授精技术推广示范。通过我单位近4年对马人工授精技术的调查研究和摸排，为本标准积攒了丰富的基础经验和资料，为项目的顺利实施提供了强有力的理论和实践保障，也为下一步标准出台的推广提供良好的平台。在推广过程中，总结经验和不足，初步确立了马人工授精的技术规程和技术方案。</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（二）立项阶段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2021年12月，在临床应用证实马人工授精技术具有较高实用性和可操作性的基础上，根据长春市市场监督管理局《关于下发2022年长春市地方标准立项指南》要求，特向长春市畜牧业管理提出《马人工授精技术规范》地方标准立项申请。临时成立了起草小组，根据前期预研结果和实际验证情况，起草了本标准草案。</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（三）起草阶段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2022年1-2月，由农安县畜牧总站牵头，组织相关技术领域专家，成立标准起草工作组，制定了工作计划，拟定2022年1-2月为标准起草阶段。工作成员根据任务分工（具体见表1），立即投入标准起草工作中。在草案的基础上，标准起草工作组查阅了大量技术资料，包括：一是，国内相关技术标准、规范、法律、法规等；二是，相关马人工授精技术指南等国标、地标、论文、专利、政策指南；三是，标准撰写要求资料，如 GB/T 1.1-2020《标准化工作导则 第1部分：标准化文件的结构和起草规则》等。工作人员针对上述资料进行了认真研究，完成了本标准工作组讨论稿，之后通过网络平台及现场召开研讨会，由农安县畜牧总站、长春畜牧总站、长春市标准研究院3家单位共同研究和修改，形成工作组讨论稿。</w:t>
      </w:r>
    </w:p>
    <w:p>
      <w:pPr>
        <w:widowControl/>
        <w:adjustRightInd w:val="0"/>
        <w:spacing w:line="360" w:lineRule="auto"/>
        <w:rPr>
          <w:rFonts w:ascii="Times New Roman" w:hAnsi="Times New Roman" w:cs="Times New Roman"/>
        </w:rPr>
      </w:pPr>
      <w:r>
        <w:rPr>
          <w:rFonts w:hint="eastAsia" w:ascii="Times New Roman" w:hAnsi="Times New Roman" w:cs="Times New Roman"/>
        </w:rPr>
        <w:t>表1    标准起草小组人员构成表</w:t>
      </w:r>
    </w:p>
    <w:tbl>
      <w:tblPr>
        <w:tblStyle w:val="2"/>
        <w:tblpPr w:leftFromText="180" w:rightFromText="180" w:vertAnchor="text" w:horzAnchor="page" w:tblpX="1179" w:tblpY="212"/>
        <w:tblOverlap w:val="never"/>
        <w:tblW w:w="9650" w:type="dxa"/>
        <w:tblInd w:w="0" w:type="dxa"/>
        <w:tblLayout w:type="fixed"/>
        <w:tblCellMar>
          <w:top w:w="0" w:type="dxa"/>
          <w:left w:w="10" w:type="dxa"/>
          <w:bottom w:w="0" w:type="dxa"/>
          <w:right w:w="10" w:type="dxa"/>
        </w:tblCellMar>
      </w:tblPr>
      <w:tblGrid>
        <w:gridCol w:w="614"/>
        <w:gridCol w:w="930"/>
        <w:gridCol w:w="1410"/>
        <w:gridCol w:w="2820"/>
        <w:gridCol w:w="1440"/>
        <w:gridCol w:w="1650"/>
        <w:gridCol w:w="786"/>
      </w:tblGrid>
      <w:tr>
        <w:tblPrEx>
          <w:tblCellMar>
            <w:top w:w="0" w:type="dxa"/>
            <w:left w:w="10" w:type="dxa"/>
            <w:bottom w:w="0" w:type="dxa"/>
            <w:right w:w="10" w:type="dxa"/>
          </w:tblCellMar>
        </w:tblPrEx>
        <w:trPr>
          <w:trHeight w:val="583"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序号</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姓名</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专业</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所在单位</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职称/职务</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主要任务</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r>
              <w:rPr>
                <w:rFonts w:hint="eastAsia" w:ascii="Times New Roman" w:hAnsi="Times New Roman" w:cs="Times New Roman"/>
              </w:rPr>
              <w:t>备注</w:t>
            </w:r>
          </w:p>
        </w:tc>
      </w:tr>
      <w:tr>
        <w:tblPrEx>
          <w:tblCellMar>
            <w:top w:w="0" w:type="dxa"/>
            <w:left w:w="10" w:type="dxa"/>
            <w:bottom w:w="0" w:type="dxa"/>
            <w:right w:w="10" w:type="dxa"/>
          </w:tblCellMar>
        </w:tblPrEx>
        <w:trPr>
          <w:trHeight w:val="565"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刘广辉</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正高级兽医师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全部内容</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center"/>
          </w:tcPr>
          <w:p>
            <w:pPr>
              <w:widowControl/>
              <w:adjustRightInd w:val="0"/>
              <w:spacing w:line="360" w:lineRule="auto"/>
              <w:jc w:val="center"/>
              <w:rPr>
                <w:rFonts w:ascii="Times New Roman" w:hAnsi="Times New Roman" w:cs="Times New Roman"/>
              </w:rPr>
            </w:pPr>
          </w:p>
        </w:tc>
      </w:tr>
      <w:tr>
        <w:tblPrEx>
          <w:tblCellMar>
            <w:top w:w="0" w:type="dxa"/>
            <w:left w:w="10" w:type="dxa"/>
            <w:bottom w:w="0" w:type="dxa"/>
            <w:right w:w="10" w:type="dxa"/>
          </w:tblCellMar>
        </w:tblPrEx>
        <w:trPr>
          <w:trHeight w:val="560"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2</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刘艳梅</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高级兽医师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全部内容</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p>
        </w:tc>
      </w:tr>
      <w:tr>
        <w:tblPrEx>
          <w:tblCellMar>
            <w:top w:w="0" w:type="dxa"/>
            <w:left w:w="10" w:type="dxa"/>
            <w:bottom w:w="0" w:type="dxa"/>
            <w:right w:w="10" w:type="dxa"/>
          </w:tblCellMar>
        </w:tblPrEx>
        <w:trPr>
          <w:trHeight w:val="597"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3</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李晓微</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r>
              <w:rPr>
                <w:rFonts w:hint="eastAsia" w:ascii="Times New Roman" w:hAnsi="Times New Roman" w:cs="Times New Roman"/>
              </w:rPr>
              <w:t>标准化</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长春市标准研究院</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助理工程师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全部内容</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p>
        </w:tc>
      </w:tr>
      <w:tr>
        <w:tblPrEx>
          <w:tblCellMar>
            <w:top w:w="0" w:type="dxa"/>
            <w:left w:w="10" w:type="dxa"/>
            <w:bottom w:w="0" w:type="dxa"/>
            <w:right w:w="10" w:type="dxa"/>
          </w:tblCellMar>
        </w:tblPrEx>
        <w:trPr>
          <w:trHeight w:val="547"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4</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宋战胜</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全部内容</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p>
        </w:tc>
      </w:tr>
      <w:tr>
        <w:tblPrEx>
          <w:tblCellMar>
            <w:top w:w="0" w:type="dxa"/>
            <w:left w:w="10" w:type="dxa"/>
            <w:bottom w:w="0" w:type="dxa"/>
            <w:right w:w="10" w:type="dxa"/>
          </w:tblCellMar>
        </w:tblPrEx>
        <w:trPr>
          <w:trHeight w:val="650"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付晓冬</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p>
        </w:tc>
      </w:tr>
      <w:tr>
        <w:tblPrEx>
          <w:tblCellMar>
            <w:top w:w="0" w:type="dxa"/>
            <w:left w:w="10" w:type="dxa"/>
            <w:bottom w:w="0" w:type="dxa"/>
            <w:right w:w="10" w:type="dxa"/>
          </w:tblCellMar>
        </w:tblPrEx>
        <w:trPr>
          <w:trHeight w:val="547"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6</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杨舒怡</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长春市畜牧总站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助理畜牧师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jc w:val="center"/>
              <w:rPr>
                <w:rFonts w:ascii="Times New Roman" w:hAnsi="Times New Roman" w:cs="Times New Roman"/>
              </w:rPr>
            </w:pPr>
          </w:p>
        </w:tc>
      </w:tr>
      <w:tr>
        <w:tblPrEx>
          <w:tblCellMar>
            <w:top w:w="0" w:type="dxa"/>
            <w:left w:w="10" w:type="dxa"/>
            <w:bottom w:w="0" w:type="dxa"/>
            <w:right w:w="10" w:type="dxa"/>
          </w:tblCellMar>
        </w:tblPrEx>
        <w:trPr>
          <w:trHeight w:val="457"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7</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杜佳励</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长春市畜牧总站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助理畜牧师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jc w:val="center"/>
              <w:rPr>
                <w:rFonts w:ascii="Times New Roman" w:hAnsi="Times New Roman" w:cs="Times New Roman"/>
              </w:rPr>
            </w:pPr>
          </w:p>
        </w:tc>
      </w:tr>
      <w:tr>
        <w:tblPrEx>
          <w:tblCellMar>
            <w:top w:w="0" w:type="dxa"/>
            <w:left w:w="10" w:type="dxa"/>
            <w:bottom w:w="0" w:type="dxa"/>
            <w:right w:w="10" w:type="dxa"/>
          </w:tblCellMar>
        </w:tblPrEx>
        <w:trPr>
          <w:trHeight w:val="532"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8</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徐 微</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动物科学</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长春市畜牧总站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助理畜牧师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jc w:val="center"/>
              <w:rPr>
                <w:rFonts w:ascii="Times New Roman" w:hAnsi="Times New Roman" w:cs="Times New Roman"/>
              </w:rPr>
            </w:pPr>
            <w:bookmarkStart w:id="1" w:name="_GoBack"/>
            <w:bookmarkEnd w:id="1"/>
          </w:p>
        </w:tc>
      </w:tr>
      <w:tr>
        <w:tblPrEx>
          <w:tblCellMar>
            <w:top w:w="0" w:type="dxa"/>
            <w:left w:w="10" w:type="dxa"/>
            <w:bottom w:w="0" w:type="dxa"/>
            <w:right w:w="10" w:type="dxa"/>
          </w:tblCellMar>
        </w:tblPrEx>
        <w:trPr>
          <w:trHeight w:val="532" w:hRule="atLeast"/>
        </w:trPr>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9</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徐源浩</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动物科学</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九台区畜牧总站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高级兽医师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10</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赵艳玲</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现代牧业生产</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德惠市畜牧总站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高级畜牧师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36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11</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王宝双</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农安县伏龙泉镇农业服务中心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高级兽医师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12</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于连斌</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13</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丁 丁</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14</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万鸿雁</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农安县农安镇农业服务中心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15</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刘 莹</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农安县农业综合执法大队</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高级兽医师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16</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闫 晗</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农安县动物疫病预防控制中心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17</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李铁鹏</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农安县农安镇农业服务中心</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18</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刘守伟</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畜牧兽医</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农安县畜牧总站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助理兽医师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r>
        <w:tblPrEx>
          <w:tblCellMar>
            <w:top w:w="0" w:type="dxa"/>
            <w:left w:w="10" w:type="dxa"/>
            <w:bottom w:w="0" w:type="dxa"/>
            <w:right w:w="10" w:type="dxa"/>
          </w:tblCellMar>
        </w:tblPrEx>
        <w:tc>
          <w:tcPr>
            <w:tcW w:w="614"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19</w:t>
            </w:r>
          </w:p>
        </w:tc>
        <w:tc>
          <w:tcPr>
            <w:tcW w:w="93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王 健</w:t>
            </w:r>
          </w:p>
        </w:tc>
        <w:tc>
          <w:tcPr>
            <w:tcW w:w="141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动物科学</w:t>
            </w:r>
          </w:p>
        </w:tc>
        <w:tc>
          <w:tcPr>
            <w:tcW w:w="282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长春市畜牧总站</w:t>
            </w:r>
          </w:p>
        </w:tc>
        <w:tc>
          <w:tcPr>
            <w:tcW w:w="144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畜牧师</w:t>
            </w:r>
          </w:p>
        </w:tc>
        <w:tc>
          <w:tcPr>
            <w:tcW w:w="1650"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jc w:val="center"/>
              <w:rPr>
                <w:rFonts w:ascii="Times New Roman" w:hAnsi="Times New Roman" w:cs="Times New Roman"/>
              </w:rPr>
            </w:pPr>
            <w:r>
              <w:rPr>
                <w:rFonts w:hint="eastAsia" w:ascii="Times New Roman" w:hAnsi="Times New Roman" w:cs="Times New Roman"/>
              </w:rPr>
              <w:t>调研、标准查新</w:t>
            </w:r>
          </w:p>
        </w:tc>
        <w:tc>
          <w:tcPr>
            <w:tcW w:w="786" w:type="dxa"/>
            <w:tcBorders>
              <w:top w:val="single" w:color="000000" w:sz="4" w:space="0"/>
              <w:left w:val="single" w:color="000000" w:sz="4" w:space="0"/>
              <w:bottom w:val="single" w:color="000000" w:sz="4" w:space="0"/>
              <w:right w:val="single" w:color="000000" w:sz="4" w:space="0"/>
            </w:tcBorders>
            <w:shd w:val="clear" w:color="000000" w:fill="FFFFFF"/>
            <w:tcMar>
              <w:left w:w="0" w:type="dxa"/>
              <w:right w:w="0" w:type="dxa"/>
            </w:tcMar>
            <w:vAlign w:val="bottom"/>
          </w:tcPr>
          <w:p>
            <w:pPr>
              <w:widowControl/>
              <w:adjustRightInd w:val="0"/>
              <w:spacing w:line="480" w:lineRule="auto"/>
              <w:ind w:firstLine="420" w:firstLineChars="200"/>
              <w:jc w:val="center"/>
              <w:rPr>
                <w:rFonts w:ascii="Times New Roman" w:hAnsi="Times New Roman" w:cs="Times New Roman"/>
              </w:rPr>
            </w:pPr>
          </w:p>
        </w:tc>
      </w:tr>
    </w:tbl>
    <w:p>
      <w:pPr>
        <w:widowControl/>
        <w:adjustRightInd w:val="0"/>
        <w:spacing w:line="360" w:lineRule="auto"/>
        <w:ind w:firstLine="420" w:firstLineChars="200"/>
        <w:jc w:val="left"/>
        <w:rPr>
          <w:rFonts w:ascii="Times New Roman" w:hAnsi="Times New Roman" w:cs="Times New Roman"/>
        </w:rPr>
      </w:pP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（四）征求意见阶段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2022年2月份，立项前标准起草工作组将工作组讨论稿、编制说明以网络函询的形式，征求了省内从事反刍动物研究的大学、研究所、技术推广机构，以及马养殖企业的立项意见，各单位和部门对本标准给予高度评价，认为该标准立项十分必要，对我市马的繁育改良具有极大的推动作用，可行性高，各单位位专家一致认为可以申报地方标准。</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四、制（修）订标准的原则和依据，与现行法律、法规、标准的关系</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（一）编制原则 </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本标准编制遵循“科学性、统一性、适用性、规范性”原则，力求层次清晰，结构合理，技术内容准确可靠，文字表达准确易懂，确保标准既反映科学技术的先进成果和经验，又具有广泛适用性。</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（二）编制依据</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1、本标准在结构和编写规则方面依据GB/T 1.1-2020《标准化工作导则  第1部分：标准化文件的结构和起草规则》。</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2、本标准技术指标适用于马养殖企业需要，在确保经济、实用的前提下，对具体人工授精内容作出规定，确保内容科学、准确、切实、可行，具有可操作性。本标准各项指标的确立，主要参照《GB/T 5458液氮生物谷器》和《DB15/T 1767-2019 马、驴冷冻精液》。在各项指标确定上，重点结合4年来马人工授精技术工作成功经验和基本做法，在技术水平上避免指标过低，注重指标与技术实际需要相适应，注重实用性。</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（三）与现行法律、法规和标准的关系</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本标准严格遵循国家有关法律法规和文件有关规定。</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五、主要条款的说明，主要技术指标、参数、试验验证的论述</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本标准名称《马人工授精技术规范》。</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本标准的规范性内容包括7部分：术语和定义、马基本条件、输精准备、母马发情鉴定、输精、妊娠检查、配种记录。部分内容主要参照《马、驴冷冻精液》（DB15/T 1767-2019），绝大部分内容是起草组在实际开展实施马人工授精技术过程中总结的成功经验和做法，后期经凝练形成本标准内容。</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（一）术语和定义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 1、冷冻精液简称“冻精”。把采集的畜禽精液经过技术处理,放在干冰或液态氮等超低温的环境中保存起来,冷冻后再储存于-196℃的液氮罐中，目的是使精子停止代谢，以延长寿命。需要时再经过技术处理,使精子恢复活力,即可用作输精。</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2、冷冻精液解冻是从液氮罐中把冻精取出，放在一定温度下（35-40℃或以上）水浴锅中，经7-8秒即解冻，以恢复精子的活率。解冻后的精液用显微镜检查精子的活力，如合格即可输精。</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3、人工授精是指采用非性交的方式将精子递送到发情母畜生殖道中以达到母畜受孕目的的一种辅助生殖技术（ART）。</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4、发情鉴定是动物繁殖工作中一项重要技术环节，通过发情鉴定可以判断动物的发情阶段，预测排卵时间；及时掌握慕青发情程度，明确最佳配种时间，提高受胎率。确定适宜配种期，及时配种或人工授精，从而达到提高受胎率的目的；还可以发现动物发情是否正常，以便发现生殖疫病或异常（子宫炎、卵巢囊炎），及时治疗解决。</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5、情期受胎率是指在发情期，母畜配种后实际怀孕的百分比。计算公式:受胎母牛头数/参加配种总头次配后2个月内出群未孕牛只×100%。情期受胎率=（妊娠母牛数/配种情期数）×100%。</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6、受胎率母畜配种后实际怀孕的百分比。通常以本年度终受胎母畜实有数与本年度终参加配种母畜实有数之比。受胎率一般有临床妊娠诊断来决定，它反映配种效果。</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7、繁殖率是亦称再生产率。是指种群中每一个体平均产生下一代的个体数。有时也用一个个体在单位时间内产生的个体数来表示。单位时间内繁殖成功得到成活个体的数目，与出生率不同，出生率一般都高于繁殖率。影响繁殖率的因素很多，主要包括环境中的温度、营养成分、含氧量、pH、光照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   （二）马基本条件</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1、发情母马：母马为季节性多次发情性排卵动物, 也称长日照发情动物, 在早春后一直到夏季有多次发情周期循环, 发情周期平均为21 d, 其发情持续期长, 马平均为5~7 d, 驴平均为4~8 d, 卵泡发育大, 规律性明显, 卵泡发育到成熟排卵的时间较长。母马的发情不如其他家畜明显，表现为躁动不安，嘶叫，主动寻找公马，排尿，扬尾，阴门开闭，阴蒂勃起。除此之外，公母马有交配行为。初配母马，空怀母马或产后母马的生殖器官或外部表情，表现有利于和愿意接受配种的现象，称为发情，民间也称“起骒”或“反群”。</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2、种公马：公马就是雄性的马，马科马属的一种草食性动物。在4000年前被人类驯服。普氏野马(Przewalski's horse)（66个染色体），家马(64个染色体)可以杂交有可育的后代，马在古代曾是农业生产、交通运输和军事等活动的主要动力。一般选择繁殖能力强、体貌突出，肌肉强健和精液品质的健康的公马做种用。</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（三）输精准备</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主要对母马人工授精前的准备工作。主要包括器具清洗和消毒、冷冻精液的贮存、冷冻精液解冻、精液质量检查、马体卫生、输精器准备。相关标准以实际经验和参照《马、驴冷冻精液》（DB15/T 1767-2019）规定的标准进行凝练而成。</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 1、器具清洗和消毒：玻璃器皿使用前用水浸泡和洗涤，有污物的宜用加洗涤剂的温热水或重铬酸钾洗液浸泡数小时后，用水洗净晾干备用。玻璃输精管放置在电热干燥箱160℃保持0.5h，自然冷却后待用。金属器械类洗净后，置电热干燥箱120℃保持1 h， 自然冷却待用。橡胶、塑料制品主要是玻璃输精器上的橡胶头，用蒸汽活体积分数75%酒精消毒,待酒精挥发尽后方能使用；塑料制品灭菌，可放置在距离紫外灯下60cm处照射0.5h以上。</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冷冻精液的贮存：在液氨贮存罐内贮存的冷冻精液，必须切实地浸没于液氮中；取放贮存冷冻精液的提筒只允许上提到液氮的管颈段之下，严禁提出罐外，在罐内脱离液氮的时间不得超10s；在向另一液氮贮存罐内转移冻精时，精液提筒不得脱离液氮5s；取放冷冻精液之后应及时盖上罐塞以减少液氮消耗及防止异物落入罐内；严防不同品种、个体公畜的冷冻精液混杂，难以辨识；对长期用作贮存冷冻精液的液氮罐应定期清理和洗刷。</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3、冷冻精液解冻：解冻时把细管精液从液氮中取出，操作时间越短越好，时间过长,可能影响其他未解冻精液的品质。解冻时把细管浸入40℃左右的温水中15 秒左右,待管内精液的颜色发生变化后即可取出。在解冻时不要让精液升温过高，细管精液取出后，先用纱布擦净细管表面的水，握住手掌稍微揉一揉，最后将细管的封闭端剪掉，推进输精器里面，准备输精。</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4、精液质量检查: 检查精子活力用的显微镜载物台应保持35~38℃；在显微镜视野下，呈直线前进运动的精子数占全部精子数的百分率来评定精子活率；精液质量应符合DB15/T 1767-2019的要求。</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5、马体卫生：输精前，用手掏净母马直肠宿粪后、再用温水或新洁尔灭溶液清洗消毒外阴部并擦拭干净。</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6、输精器准备：消毒后的球式玻璃输精器主要用于颗粒冷冻精液的输精，输精前在输精器后端装上橡胶头，手捏橡胶头吸取精液；消毒后的金属输精器主要用于细管冷冻精液的输精。剪：去细管精液封口，剪口应正，断面应齐。将剪去封口的细管精液迅速装入输精器管内，步骤为：剪去封口端的为前端，输精器推杆后退，细管装至管内，输精器管进入塑料外套管，管口顶紧外套管中固定圈，输精器管前推到头，外套管后部与输精器后部螺纹处拧紧，全部结合要紧密。</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（四）母马发情鉴定</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母马发情鉴定的目的是及时发现发情应配母马，正确掌握配种时间，适时配种，防止误配漏配。母马发情周期为21天左右，发情期持续7天左右。实践证明，正确掌握母马发情和排卵规律、抓住最佳配种期进行适时配种是提高母马受胎率的重要措施之一。 鉴定母马发情的方法有外部观察法、试情法、阴道检查法和直肠检查法等。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1、外部观察法：根据母马的外部表现来判断发情情况，母马发情时往往兴奋不安，食欲和奶量减少，尾根举起。追逐、爬跨其他母马并接受它马爬跨 发情马爬跨其他马时，阴门搐动并滴尿，外阴部红肿，从阴门流出粘液。</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试情法：根据母马爬跨的情况来发现发情马，这是最常用的方法。此法适用于群牧的繁殖母马群，可以节省人力，提高发情鉴定效果。将结扎输精管的公马放入母马群中，如母马喜靠公马.并作弯腰弓背姿势，表示该母马可能发情。根据公马追逐爬跨情况以及母马接受爬跨的程度来判断母马的发情程度。</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3、阴道检查法：用阴道开张器来观察阴道的粘膜、分泌物和子宫颈口的变化来判断发情与否。发情母马阴道粘膜充血潮红，表面光滑湿润，子宫颈外口充血、松弛、柔软开张，排出大量透明的纤维性粘液 (你称吊线）。粘液最初稀薄，随着发情时间的推移，逐渐变稠，量也逐渐增多。到发情后期，量逐渐减少且粘性差，颜色不透明，有时含淡黄色细胞碎屑或微量血液。不发情的母马阴道苍白、干燥，子宫颈口紧闭，无粘液流出。</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4、直肠检查法：进行直肠检查法时检查者须将指甲剪短、磨光、手臂上涂润滑剂.先用手抚摸肛门，然后将手指并拢成锥形，以缓慢的旋转动作伸入肛门，掏出粪便。然后再将手伸人肛门，手掌展平，掌心向下，按压抚摸，用手指检查子宫角的形状、大小、反应以及卵巢上卵泡的发育情况，来判断母马的发情。发情母马子宫颈稍大、较软，由于子宫粘膜水肿，子宫角体积也增大，子宫收缩反应比较明显，子宫角坚实。在子宫角的两侧可摸到两个卵巢，卵巢上发有的卵泡突出卵巢表面，光滑，触摸时略有波动，发育最大时的直径为1.8-2.5厘米，排卵前有 一触即破感。不发情的母马，子宫颈细而硬， 子宫较松驰，触摸不那么明显，收缩反应差。</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（五）输精</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母马需经发情鉴定及健康检查后才能给予输精。首先保定好准备输精的母马，用温开水将外阴部清洗干净，以1/3000 新浩尔灭溶液或酒精棉球擦拭消毒，待干燥后，再用生理盐水棉球擦拭。输精员的指甲要剪短磨光，洗涤擦干，并用75%酒精消毒。戴长臂手套采取直肠把握法输精时，先由左手掏出粪便，再伸入直肠，寻找并握住子宫颈，用胳膊压开阴门，右手持输精导管插入阴门，先向上倾斜避开尿道口，再转入水平直向子宫颈口，借助进入直肠内的一只手固定和协同动作，将精液输入子宫内或子宫颈5～6 厘米处,最后轻轻地拉出输精器。</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1、输精时间：输精时间一般因母马的年龄、品种、胎次、营养水平的不同而有所差异，一般母马发情期中输精最佳时间是发情开始后12小时到发情终止或排卵前的12小时内。</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输精方法：输精人员一手五指并握，呈圆锥形从肛门伸进直肠，动作要轻柔，在直肠内触摸并把握住子宫颈，使子宫颈把握在手掌之中，另一手将输精器从阴道下口斜上方约45°角向里轻轻插入，双手配合，输精器头对准子宫颈口，轻轻旋转插进，过子宫颈口螺旋状皱壁1cm-2cm到达输精部位。一头母马应使用一支输精器或者一支消毒塑料输精外套管。直肠把握输精使用器械及其操作分为：球式玻璃输精器,注入精液前略后退约 0.5 cm,手捏橡胶头注入精液,输精管抽出前不得松开橡胶头，以免回吸精液。金属输精器的，注入精液前略后退约0.5 cm，把输精器推杆缓缓向前推，通过细管中棉塞向前注入精液。</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3、输精部位</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输精器应到子宫角间沟分岔部的子宫体部，不宜深达子宫角部位。</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（六）妊娠检查</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母马输完精,接下来就是对怀孕母马的妊娠检查了，妊娠检查主要是外部观察和直肠检查两种方法。 外部观察：妊娠母马外部表现发情周期停止，食欲增进、毛色润泽，性情变温和，行为变安稳。怀孕中后期腹围增大,腹壁一侧突出，甚至可观察到胎动乳房胀大。 直肠检查：输精后二个情期未发情（40日左右），通过直肠触摸检查子宫，可查出两侧子宫角不对称，孕侧子宫角较另侧略大，且柔软。60d后直肠触摸可查出妊娠子宫增大、胎儿和胎膜。直肠触摸同侧卵巢较另侧略大,并有妊娠黄体,黄体质柔软 丰满、顶端能用触感突起物。</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（七、）配种记录</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包括母马号母马发情时间、发情观察鉴定、发情后期流血时间、输精时间,公马号及冷冻精液信息、输精操作人员等信息。通过详细的记录可有效的了解母马和种公马及精液后裔的生理特性，为族谱鉴定奠定基础。</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六、重大分歧意见的处理经过、依据和结果</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无</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七、采用国际标准或国外先进标准的，说明采标程度，以及国内外同类标准水平的对比情况</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未采用国际标准或国外先进标准。通过联机检索，仅检索到新疆维吾尔自治区制定了《马人工授精技术操作规程》（DB65/T3649-2014）。经对比分析，技术规程均对基本方法进行了规定，但部分综合技术指标及方法且过于简单。本标准不仅明确给出人工授精技术的注意事项、方法和步骤，对具体操作步骤进行了详细规定，对每种配种方法需达到的标准和措施也进行了详细规定，条理清晰，可操作性强。</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八、贯彻标准的措施建议</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（一）技术措施</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发布实施后，可下发全市各级畜牧部门，使相关技术推广机构及养殖业主了解本标准，重视马人工授精工作。同时，建议畜牧业行政主管部门组织开展专题培训，由标准起草单位负责技术讲解，同时负责技术支持，切实达到真正完善畜牧产业标准体系，促进马繁育改良的目标。</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（二）管理措施</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加大对该标准的宣传力度，使应用和管理部门，规模养殖场充分了解标准的具体内容，提高思想认识，能够主动执行标准的各项要求。各级职能部门做好协调工作，在开展马人工授精时应推荐其使用本标准，推进我市马产业快速发展。</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（三）实施方案</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1、本标准被批准后，由起草单位吉农安县畜牧总站、长春市畜牧总站、长春市标准研究院3个部门，组织相关部门的技术人员进行大力宣传和贯彻实施。</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2、本标准由长春市市场监督管理厅发布后，建议由长春市畜牧业行政主管部门负责监督实施。</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3、标准发布实施后，将全面在全市范围推广应用,可广泛应用于长春市各地县、市区及全省马养殖企业。</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九、预期效益分析</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马人工授精技术是利用特殊器械和方法将公畜的精液采集出来，经过检查、稀释及冷冻等科学处理，达到国家有关标准和要求，按一定剂量用专用器械输入母马生殖道内，达到怀孕、产仔、繁殖后代的目的。马人工授精技术是代替公畜自然交配的一种科学有效繁殖技术，它的优点十分突出：</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1、提高种公马的利用率。在自认交配的情况下，每头种公马交配头数在30头（只）左右，种公马饲养量大，使用效率十分有限，饲养成本巨大。采用人工授精技术，可采用鲜精和冷冻精液输精，精液经过稀释等科学处理，可输精数量大幅增加，例如每头公马采用冷冻精液技术，年可采集2-3万剂冷冻精液，可配种1-1.5万头母</w:t>
      </w:r>
      <w:r>
        <w:rPr>
          <w:rFonts w:hint="eastAsia" w:ascii="Times New Roman" w:hAnsi="Times New Roman" w:cs="Times New Roman"/>
          <w:lang w:eastAsia="zh-CN"/>
        </w:rPr>
        <w:t>马</w:t>
      </w:r>
      <w:r>
        <w:rPr>
          <w:rFonts w:hint="eastAsia" w:ascii="Times New Roman" w:hAnsi="Times New Roman" w:cs="Times New Roman"/>
        </w:rPr>
        <w:t>，是自然交配的300-500倍。</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2、可实现随时随地配种。自然交配母马和公马受饲养地区和繁殖季节的影响，交配在时间和空间上均受到极大限制。但采用人工授精技术，精液可实现长期保存和远距离运输，可选择母马最佳发情季节和发情期进行配种，可实现异地远距离配种。</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3、可忽略公母马个体大小差异。在自然交配的情况下，如果公母马个体差异太大将造成爬跨和配种困难，但采用人工授精技术，可以忽略公母马个体大小差异。另外还可解决不同品种间杂交交配困难的问题。</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4、可防止疾病传播。马自然交配时，配种时机体互相交叉，如果其中一头马患有生殖疾病必然造成马群大面积传播。但采用人工授精技术每个操作过程都有严格科学的操作规程，各环节都要经过严格消毒和灭菌，杜绝了生殖疾病的传播，减少了生殖疾病发病率，降低了流产、死胎及母马发病几率。</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5、扩大优良种公马的利用率。在马育种、繁殖和生产中，优良种马的选择是十分严格，要选出符合各项要求的种马十分困难，选出一头种马都要花费大量人力物力，每一头优良种马都十分珍贵，如果按自然交配方法交配，利用效果十分有限，必将造成大量浪费。但采用人工授精技术可实现大批次和大量配种，极大提高种公马利用效率，提高生产效率和育种速度。</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十、参考文献及其他需要说明的事项</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本标准在起草过程中主要参考的国家标准、相关的文件有：</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GB/T 5458液氮生物谷器</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DB15/T 1767-2019 马、驴冷冻精液</w:t>
      </w:r>
    </w:p>
    <w:p>
      <w:pPr>
        <w:widowControl/>
        <w:adjustRightInd w:val="0"/>
        <w:spacing w:line="360" w:lineRule="auto"/>
        <w:ind w:firstLine="420" w:firstLineChars="200"/>
        <w:rPr>
          <w:rFonts w:ascii="Times New Roman" w:hAnsi="Times New Roman" w:cs="Times New Roman"/>
        </w:rPr>
      </w:pP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                                                                             马人工授精技术规范起草小组</w:t>
      </w:r>
    </w:p>
    <w:p>
      <w:pPr>
        <w:widowControl/>
        <w:adjustRightInd w:val="0"/>
        <w:spacing w:line="360" w:lineRule="auto"/>
        <w:ind w:firstLine="420" w:firstLineChars="200"/>
        <w:rPr>
          <w:rFonts w:ascii="Times New Roman" w:hAnsi="Times New Roman" w:cs="Times New Roman"/>
        </w:rPr>
      </w:pPr>
      <w:r>
        <w:rPr>
          <w:rFonts w:hint="eastAsia" w:ascii="Times New Roman" w:hAnsi="Times New Roman" w:cs="Times New Roman"/>
        </w:rPr>
        <w:t xml:space="preserve">                                                                                      2022年02月20日</w:t>
      </w:r>
    </w:p>
    <w:p>
      <w:pPr>
        <w:widowControl/>
        <w:adjustRightInd w:val="0"/>
        <w:spacing w:line="360" w:lineRule="auto"/>
        <w:ind w:firstLine="420" w:firstLineChars="200"/>
        <w:rPr>
          <w:rFonts w:ascii="Times New Roman" w:hAnsi="Times New Roman" w:cs="Times New Roman"/>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docVars>
    <w:docVar w:name="commondata" w:val="eyJoZGlkIjoiN2Q4MWI0YTcxZWVjODRiMzE1MjllN2I5YmRjNGY2YjIifQ=="/>
  </w:docVars>
  <w:rsids>
    <w:rsidRoot w:val="003B4311"/>
    <w:rsid w:val="001E22F0"/>
    <w:rsid w:val="00316D45"/>
    <w:rsid w:val="003B4311"/>
    <w:rsid w:val="00410C71"/>
    <w:rsid w:val="004120CB"/>
    <w:rsid w:val="00A37751"/>
    <w:rsid w:val="00DC14AF"/>
    <w:rsid w:val="0EB15BB6"/>
    <w:rsid w:val="0FD85D48"/>
    <w:rsid w:val="18C63B52"/>
    <w:rsid w:val="1920651A"/>
    <w:rsid w:val="321A04DB"/>
    <w:rsid w:val="4194171F"/>
    <w:rsid w:val="565A4851"/>
    <w:rsid w:val="70C23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uiPriority w:val="99"/>
    <w:pPr>
      <w:ind w:firstLine="420" w:firstLineChars="200"/>
    </w:pPr>
  </w:style>
  <w:style w:type="paragraph" w:customStyle="1" w:styleId="5">
    <w:name w:val="Default"/>
    <w:qFormat/>
    <w:uiPriority w:val="0"/>
    <w:pPr>
      <w:widowControl w:val="0"/>
      <w:autoSpaceDE w:val="0"/>
      <w:autoSpaceDN w:val="0"/>
      <w:adjustRightInd w:val="0"/>
    </w:pPr>
    <w:rPr>
      <w:rFonts w:ascii="楷体" w:hAnsi="Calibri" w:eastAsia="楷体" w:cs="楷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8238</Words>
  <Characters>8513</Characters>
  <Lines>63</Lines>
  <Paragraphs>17</Paragraphs>
  <TotalTime>32</TotalTime>
  <ScaleCrop>false</ScaleCrop>
  <LinksUpToDate>false</LinksUpToDate>
  <CharactersWithSpaces>8738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2022-03-23T11:33:00Z</dcterms:created>
  <dc:creator>DELL</dc:creator>
  <cp:lastModifiedBy>Administrator</cp:lastModifiedBy>
  <dcterms:modified xsi:type="dcterms:W3CDTF">2022-10-24T01:38:48Z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07CE5DE399ED4A65B4666BBEE7A0F665</vt:lpwstr>
  </property>
</Properties>
</file>