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4" w:lineRule="exact"/>
        <w:jc w:val="center"/>
        <w:rPr>
          <w:rFonts w:ascii="仿宋" w:hAnsi="仿宋" w:eastAsia="仿宋" w:cs="仿宋"/>
          <w:b/>
          <w:bCs/>
          <w:color w:val="000000"/>
          <w:sz w:val="36"/>
          <w:szCs w:val="36"/>
        </w:rPr>
      </w:pPr>
      <w:bookmarkStart w:id="0" w:name="_GoBack"/>
      <w:r>
        <w:rPr>
          <w:rFonts w:hint="eastAsia" w:ascii="仿宋" w:hAnsi="仿宋" w:eastAsia="仿宋" w:cs="仿宋"/>
          <w:b/>
          <w:bCs/>
          <w:color w:val="000000"/>
          <w:sz w:val="36"/>
          <w:szCs w:val="36"/>
        </w:rPr>
        <w:t>长春市</w:t>
      </w:r>
      <w:r>
        <w:rPr>
          <w:rFonts w:hint="eastAsia" w:ascii="仿宋" w:hAnsi="仿宋" w:eastAsia="仿宋" w:cs="仿宋"/>
          <w:b/>
          <w:bCs/>
          <w:color w:val="000000"/>
          <w:sz w:val="36"/>
          <w:szCs w:val="36"/>
          <w:lang w:val="en-US" w:eastAsia="zh-CN"/>
        </w:rPr>
        <w:t>2022年</w:t>
      </w:r>
      <w:r>
        <w:rPr>
          <w:rFonts w:hint="eastAsia" w:ascii="仿宋" w:hAnsi="仿宋" w:eastAsia="仿宋" w:cs="仿宋"/>
          <w:b/>
          <w:bCs/>
          <w:color w:val="000000"/>
          <w:sz w:val="36"/>
          <w:szCs w:val="36"/>
        </w:rPr>
        <w:t>电线电缆产品质量监督抽查实施细则</w:t>
      </w:r>
      <w:bookmarkEnd w:id="0"/>
    </w:p>
    <w:p>
      <w:pPr>
        <w:adjustRightInd w:val="0"/>
        <w:snapToGrid w:val="0"/>
        <w:spacing w:line="594" w:lineRule="exact"/>
        <w:jc w:val="center"/>
        <w:rPr>
          <w:rFonts w:ascii="仿宋" w:hAnsi="仿宋" w:eastAsia="仿宋" w:cs="仿宋"/>
          <w:color w:val="000000"/>
          <w:sz w:val="28"/>
          <w:szCs w:val="28"/>
        </w:rPr>
      </w:pPr>
    </w:p>
    <w:p>
      <w:pPr>
        <w:snapToGrid w:val="0"/>
        <w:spacing w:line="520" w:lineRule="exact"/>
        <w:rPr>
          <w:rFonts w:ascii="仿宋_GB2312" w:hAnsi="仿宋" w:eastAsia="仿宋_GB2312" w:cs="仿宋"/>
          <w:color w:val="000000"/>
          <w:sz w:val="28"/>
          <w:szCs w:val="28"/>
        </w:rPr>
      </w:pPr>
      <w:r>
        <w:rPr>
          <w:rFonts w:hint="eastAsia" w:ascii="仿宋_GB2312" w:hAnsi="仿宋" w:eastAsia="仿宋_GB2312" w:cs="仿宋"/>
          <w:color w:val="000000"/>
          <w:sz w:val="28"/>
          <w:szCs w:val="28"/>
        </w:rPr>
        <w:t>1 抽样方法</w:t>
      </w:r>
    </w:p>
    <w:p>
      <w:pPr>
        <w:snapToGrid w:val="0"/>
        <w:spacing w:line="44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以随机抽样的方式在被抽样生产者、销售者的待销产品中抽取。</w:t>
      </w:r>
    </w:p>
    <w:p>
      <w:pPr>
        <w:snapToGrid w:val="0"/>
        <w:spacing w:line="44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随机数一般可使用随机数表等方法产生。</w:t>
      </w:r>
    </w:p>
    <w:p>
      <w:pPr>
        <w:snapToGrid w:val="0"/>
        <w:spacing w:line="44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架空绝缘电缆：每批次产品抽取样品40米，其中20米作为检验样品，20米作为备用样品。</w:t>
      </w:r>
    </w:p>
    <w:p>
      <w:pPr>
        <w:snapToGrid w:val="0"/>
        <w:spacing w:line="44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非阻燃塑料绝缘控制电缆：每批次产品抽取样品40米，其中20米作为检验样品，20米作为备用样品。</w:t>
      </w:r>
    </w:p>
    <w:p>
      <w:pPr>
        <w:snapToGrid w:val="0"/>
        <w:spacing w:line="44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非阻燃挤包绝缘低压电力电缆：每批次产品抽取样品40米，其中20米作为检验样品，20米作为备用样品。</w:t>
      </w:r>
    </w:p>
    <w:p>
      <w:pPr>
        <w:snapToGrid w:val="0"/>
        <w:spacing w:line="44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非阻燃挤包绝缘中压电力电缆：每批次产品抽取样品30米，其中15米作为检验样品，15米作为备用样品。</w:t>
      </w:r>
    </w:p>
    <w:p>
      <w:pPr>
        <w:snapToGrid w:val="0"/>
        <w:spacing w:line="44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非阻燃额定电压450/750V及以下聚氯乙烯绝缘电线电缆：每批次产品抽取样品50米，其中30米作为检验样品，20米作为备用样品。</w:t>
      </w:r>
    </w:p>
    <w:p>
      <w:pPr>
        <w:snapToGrid w:val="0"/>
        <w:spacing w:line="44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阻燃电线电缆：每批次产品抽取样品（非阻燃产品总长度+4X）米，其中（非阻燃检验样品长度+1.5X）米作为检验样品，（非阻燃备用样品长度+2.5X）米作为备用样品。X为成束燃烧试验所需样品长度，根据GB/T 18380.33-2008、GB/T 18380.34-2008、GB/T 18380.35-2008和GB/T 18380.36-2008标准中的简易计算方法进行计算，计算公式如下：</w:t>
      </w:r>
    </w:p>
    <w:p>
      <w:pPr>
        <w:spacing w:line="360" w:lineRule="auto"/>
        <w:ind w:firstLine="560" w:firstLineChars="200"/>
        <w:rPr>
          <w:rFonts w:ascii="仿宋" w:hAnsi="仿宋" w:eastAsia="仿宋" w:cs="仿宋"/>
          <w:color w:val="000000"/>
          <w:sz w:val="28"/>
          <w:szCs w:val="28"/>
        </w:rPr>
      </w:pPr>
      <w:r>
        <w:rPr>
          <w:rFonts w:ascii="仿宋" w:hAnsi="仿宋" w:eastAsia="仿宋" w:cs="仿宋"/>
          <w:color w:val="000000"/>
          <w:sz w:val="28"/>
          <w:szCs w:val="28"/>
        </w:rPr>
        <w:t>A类阻燃：X=[7000/(3.14×D2/4-S)] 取整×3.5米</w:t>
      </w:r>
    </w:p>
    <w:p>
      <w:pPr>
        <w:spacing w:line="360" w:lineRule="auto"/>
        <w:ind w:firstLine="560" w:firstLineChars="200"/>
        <w:rPr>
          <w:rFonts w:ascii="仿宋" w:hAnsi="仿宋" w:eastAsia="仿宋" w:cs="仿宋"/>
          <w:color w:val="000000"/>
          <w:sz w:val="28"/>
          <w:szCs w:val="28"/>
        </w:rPr>
      </w:pPr>
      <w:r>
        <w:rPr>
          <w:rFonts w:ascii="仿宋" w:hAnsi="仿宋" w:eastAsia="仿宋" w:cs="仿宋"/>
          <w:color w:val="000000"/>
          <w:sz w:val="28"/>
          <w:szCs w:val="28"/>
        </w:rPr>
        <w:t>B类阻燃：X=[3500/(3.14×D2/4-S)] 取整×3.5米</w:t>
      </w:r>
    </w:p>
    <w:p>
      <w:pPr>
        <w:spacing w:line="360" w:lineRule="auto"/>
        <w:ind w:firstLine="560" w:firstLineChars="200"/>
        <w:rPr>
          <w:rFonts w:ascii="仿宋" w:hAnsi="仿宋" w:eastAsia="仿宋" w:cs="仿宋"/>
          <w:color w:val="000000"/>
          <w:sz w:val="28"/>
          <w:szCs w:val="28"/>
        </w:rPr>
      </w:pPr>
      <w:r>
        <w:rPr>
          <w:rFonts w:ascii="仿宋" w:hAnsi="仿宋" w:eastAsia="仿宋" w:cs="仿宋"/>
          <w:color w:val="000000"/>
          <w:sz w:val="28"/>
          <w:szCs w:val="28"/>
        </w:rPr>
        <w:t>C类阻燃：X=[1500/(3.14×D2/4-S)] 取整×3.5米</w:t>
      </w:r>
    </w:p>
    <w:p>
      <w:pPr>
        <w:spacing w:line="360" w:lineRule="auto"/>
        <w:ind w:firstLine="560" w:firstLineChars="200"/>
        <w:rPr>
          <w:rFonts w:ascii="仿宋" w:hAnsi="仿宋" w:eastAsia="仿宋" w:cs="仿宋"/>
          <w:color w:val="000000"/>
          <w:sz w:val="28"/>
          <w:szCs w:val="28"/>
        </w:rPr>
      </w:pPr>
      <w:r>
        <w:rPr>
          <w:rFonts w:ascii="仿宋" w:hAnsi="仿宋" w:eastAsia="仿宋" w:cs="仿宋"/>
          <w:color w:val="000000"/>
          <w:sz w:val="28"/>
          <w:szCs w:val="28"/>
        </w:rPr>
        <w:t>D类阻燃：X=[500/(3.14×D2/4-S)] 取整×3.5米</w:t>
      </w:r>
    </w:p>
    <w:p>
      <w:pPr>
        <w:snapToGrid w:val="0"/>
        <w:spacing w:line="44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以上计算公式中，D为电缆成品外径，单位为毫米（mm）；S为所有金属材料的截面积，单位为平方毫米（mm</w:t>
      </w:r>
      <w:r>
        <w:rPr>
          <w:rFonts w:ascii="仿宋" w:hAnsi="仿宋" w:eastAsia="仿宋" w:cs="仿宋"/>
          <w:color w:val="000000"/>
          <w:sz w:val="28"/>
          <w:szCs w:val="28"/>
          <w:vertAlign w:val="superscript"/>
        </w:rPr>
        <w:t>2</w:t>
      </w:r>
      <w:r>
        <w:rPr>
          <w:rFonts w:ascii="仿宋" w:hAnsi="仿宋" w:eastAsia="仿宋" w:cs="仿宋"/>
          <w:color w:val="000000"/>
          <w:sz w:val="28"/>
          <w:szCs w:val="28"/>
        </w:rPr>
        <w:t>）。</w:t>
      </w:r>
    </w:p>
    <w:p>
      <w:pPr>
        <w:spacing w:line="360" w:lineRule="auto"/>
        <w:rPr>
          <w:rFonts w:ascii="仿宋" w:hAnsi="仿宋" w:eastAsia="仿宋" w:cs="仿宋"/>
          <w:color w:val="000000"/>
          <w:sz w:val="28"/>
          <w:szCs w:val="28"/>
        </w:rPr>
      </w:pPr>
      <w:r>
        <w:rPr>
          <w:rFonts w:hint="eastAsia" w:ascii="仿宋" w:hAnsi="仿宋" w:eastAsia="仿宋" w:cs="仿宋"/>
          <w:color w:val="000000"/>
          <w:sz w:val="28"/>
          <w:szCs w:val="28"/>
        </w:rPr>
        <w:t>2检验依据</w:t>
      </w:r>
    </w:p>
    <w:tbl>
      <w:tblPr>
        <w:tblStyle w:val="7"/>
        <w:tblW w:w="8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3544"/>
        <w:gridCol w:w="3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64" w:type="dxa"/>
            <w:vAlign w:val="center"/>
          </w:tcPr>
          <w:p>
            <w:pPr>
              <w:snapToGrid w:val="0"/>
              <w:spacing w:line="440" w:lineRule="exact"/>
              <w:jc w:val="center"/>
              <w:rPr>
                <w:rFonts w:ascii="Times New Roman" w:hAnsi="Times New Roman"/>
                <w:color w:val="000000"/>
                <w:szCs w:val="21"/>
              </w:rPr>
            </w:pPr>
            <w:r>
              <w:rPr>
                <w:rFonts w:ascii="Times New Roman" w:hAnsi="Times New Roman"/>
                <w:color w:val="000000"/>
                <w:szCs w:val="21"/>
              </w:rPr>
              <w:t>序号</w:t>
            </w:r>
          </w:p>
        </w:tc>
        <w:tc>
          <w:tcPr>
            <w:tcW w:w="3544" w:type="dxa"/>
            <w:vAlign w:val="center"/>
          </w:tcPr>
          <w:p>
            <w:pPr>
              <w:snapToGrid w:val="0"/>
              <w:spacing w:line="440" w:lineRule="exact"/>
              <w:jc w:val="center"/>
              <w:rPr>
                <w:rFonts w:ascii="Times New Roman" w:hAnsi="Times New Roman"/>
                <w:color w:val="000000"/>
                <w:szCs w:val="21"/>
              </w:rPr>
            </w:pPr>
            <w:r>
              <w:rPr>
                <w:rFonts w:ascii="Times New Roman" w:hAnsi="Times New Roman"/>
                <w:color w:val="000000"/>
                <w:szCs w:val="21"/>
              </w:rPr>
              <w:t>检验项目</w:t>
            </w:r>
          </w:p>
        </w:tc>
        <w:tc>
          <w:tcPr>
            <w:tcW w:w="3825" w:type="dxa"/>
            <w:vAlign w:val="center"/>
          </w:tcPr>
          <w:p>
            <w:pPr>
              <w:snapToGrid w:val="0"/>
              <w:spacing w:line="440" w:lineRule="exact"/>
              <w:jc w:val="center"/>
              <w:rPr>
                <w:rFonts w:ascii="Times New Roman" w:hAnsi="Times New Roman"/>
                <w:color w:val="000000"/>
                <w:szCs w:val="21"/>
              </w:rPr>
            </w:pPr>
            <w:r>
              <w:rPr>
                <w:rFonts w:ascii="Times New Roman" w:hAnsi="Times New Roman"/>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ascii="Times New Roman" w:hAnsi="Times New Roman"/>
                <w:bCs/>
                <w:szCs w:val="21"/>
              </w:rPr>
              <w:t>1</w:t>
            </w:r>
          </w:p>
        </w:tc>
        <w:tc>
          <w:tcPr>
            <w:tcW w:w="3544" w:type="dxa"/>
            <w:vAlign w:val="center"/>
          </w:tcPr>
          <w:p>
            <w:pPr>
              <w:jc w:val="left"/>
              <w:rPr>
                <w:rFonts w:ascii="Times New Roman" w:hAnsi="Times New Roman"/>
                <w:bCs/>
                <w:szCs w:val="21"/>
              </w:rPr>
            </w:pPr>
            <w:r>
              <w:rPr>
                <w:rFonts w:ascii="Times New Roman" w:hAnsi="Times New Roman"/>
                <w:bCs/>
                <w:szCs w:val="21"/>
              </w:rPr>
              <w:t>绝缘平均厚度</w:t>
            </w:r>
          </w:p>
        </w:tc>
        <w:tc>
          <w:tcPr>
            <w:tcW w:w="3825" w:type="dxa"/>
            <w:vMerge w:val="restart"/>
            <w:vAlign w:val="center"/>
          </w:tcPr>
          <w:p>
            <w:pPr>
              <w:jc w:val="left"/>
              <w:rPr>
                <w:rFonts w:ascii="Times New Roman" w:hAnsi="Times New Roman"/>
                <w:bCs/>
                <w:szCs w:val="21"/>
                <w:lang w:val="de-DE"/>
              </w:rPr>
            </w:pPr>
            <w:r>
              <w:rPr>
                <w:rFonts w:ascii="Times New Roman" w:hAnsi="Times New Roman"/>
                <w:bCs/>
                <w:szCs w:val="21"/>
                <w:lang w:val="de-DE"/>
              </w:rPr>
              <w:t>GB/T 2951.11-2008</w:t>
            </w:r>
          </w:p>
          <w:p>
            <w:pPr>
              <w:jc w:val="left"/>
              <w:rPr>
                <w:rFonts w:ascii="Times New Roman" w:hAnsi="Times New Roman"/>
                <w:bCs/>
                <w:szCs w:val="21"/>
                <w:lang w:val="de-DE"/>
              </w:rPr>
            </w:pPr>
            <w:r>
              <w:rPr>
                <w:rFonts w:ascii="Times New Roman" w:hAnsi="Times New Roman"/>
                <w:bCs/>
                <w:szCs w:val="21"/>
                <w:lang w:val="de-DE"/>
              </w:rPr>
              <w:t>GB/T 5023.2-2008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ascii="Times New Roman" w:hAnsi="Times New Roman"/>
                <w:bCs/>
                <w:szCs w:val="21"/>
              </w:rPr>
              <w:t>2</w:t>
            </w:r>
          </w:p>
        </w:tc>
        <w:tc>
          <w:tcPr>
            <w:tcW w:w="3544" w:type="dxa"/>
            <w:vAlign w:val="center"/>
          </w:tcPr>
          <w:p>
            <w:pPr>
              <w:jc w:val="left"/>
              <w:rPr>
                <w:rFonts w:ascii="Times New Roman" w:hAnsi="Times New Roman"/>
                <w:bCs/>
                <w:szCs w:val="21"/>
              </w:rPr>
            </w:pPr>
            <w:r>
              <w:rPr>
                <w:rFonts w:ascii="Times New Roman" w:hAnsi="Times New Roman"/>
                <w:bCs/>
                <w:szCs w:val="21"/>
              </w:rPr>
              <w:t>绝缘最薄处厚度</w:t>
            </w:r>
          </w:p>
        </w:tc>
        <w:tc>
          <w:tcPr>
            <w:tcW w:w="3825" w:type="dxa"/>
            <w:vMerge w:val="continue"/>
            <w:vAlign w:val="center"/>
          </w:tcPr>
          <w:p>
            <w:pPr>
              <w:jc w:val="center"/>
              <w:rPr>
                <w:rFonts w:ascii="Times New Roman" w:hAnsi="Times New Roman"/>
                <w:bCs/>
                <w:szCs w:val="21"/>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ascii="Times New Roman" w:hAnsi="Times New Roman"/>
                <w:bCs/>
                <w:szCs w:val="21"/>
              </w:rPr>
              <w:t>3</w:t>
            </w:r>
          </w:p>
        </w:tc>
        <w:tc>
          <w:tcPr>
            <w:tcW w:w="3544" w:type="dxa"/>
            <w:vAlign w:val="center"/>
          </w:tcPr>
          <w:p>
            <w:pPr>
              <w:jc w:val="left"/>
              <w:rPr>
                <w:rFonts w:ascii="Times New Roman" w:hAnsi="Times New Roman"/>
                <w:bCs/>
                <w:szCs w:val="21"/>
              </w:rPr>
            </w:pPr>
            <w:r>
              <w:rPr>
                <w:rFonts w:ascii="Times New Roman" w:hAnsi="Times New Roman"/>
                <w:bCs/>
                <w:szCs w:val="21"/>
              </w:rPr>
              <w:t>护套平均厚度</w:t>
            </w:r>
          </w:p>
        </w:tc>
        <w:tc>
          <w:tcPr>
            <w:tcW w:w="3825" w:type="dxa"/>
            <w:vMerge w:val="continue"/>
            <w:vAlign w:val="center"/>
          </w:tcPr>
          <w:p>
            <w:pPr>
              <w:jc w:val="center"/>
              <w:rPr>
                <w:rFonts w:ascii="Times New Roman" w:hAnsi="Times New Roman"/>
                <w:bCs/>
                <w:szCs w:val="21"/>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ascii="Times New Roman" w:hAnsi="Times New Roman"/>
                <w:bCs/>
                <w:szCs w:val="21"/>
              </w:rPr>
              <w:t>4</w:t>
            </w:r>
          </w:p>
        </w:tc>
        <w:tc>
          <w:tcPr>
            <w:tcW w:w="3544" w:type="dxa"/>
            <w:vAlign w:val="center"/>
          </w:tcPr>
          <w:p>
            <w:pPr>
              <w:jc w:val="left"/>
              <w:rPr>
                <w:rFonts w:ascii="Times New Roman" w:hAnsi="Times New Roman"/>
                <w:bCs/>
                <w:szCs w:val="21"/>
              </w:rPr>
            </w:pPr>
            <w:r>
              <w:rPr>
                <w:rFonts w:ascii="Times New Roman" w:hAnsi="Times New Roman"/>
                <w:bCs/>
                <w:szCs w:val="21"/>
              </w:rPr>
              <w:t>护套最薄处厚度</w:t>
            </w:r>
          </w:p>
        </w:tc>
        <w:tc>
          <w:tcPr>
            <w:tcW w:w="3825" w:type="dxa"/>
            <w:vMerge w:val="continue"/>
            <w:vAlign w:val="center"/>
          </w:tcPr>
          <w:p>
            <w:pPr>
              <w:jc w:val="center"/>
              <w:rPr>
                <w:rFonts w:ascii="Times New Roman" w:hAnsi="Times New Roman"/>
                <w:bCs/>
                <w:szCs w:val="21"/>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ascii="Times New Roman" w:hAnsi="Times New Roman"/>
                <w:bCs/>
                <w:szCs w:val="21"/>
              </w:rPr>
              <w:t>5</w:t>
            </w:r>
          </w:p>
        </w:tc>
        <w:tc>
          <w:tcPr>
            <w:tcW w:w="3544" w:type="dxa"/>
            <w:vAlign w:val="center"/>
          </w:tcPr>
          <w:p>
            <w:pPr>
              <w:jc w:val="left"/>
              <w:rPr>
                <w:rFonts w:ascii="Times New Roman" w:hAnsi="Times New Roman"/>
                <w:bCs/>
                <w:szCs w:val="21"/>
              </w:rPr>
            </w:pPr>
            <w:r>
              <w:rPr>
                <w:rFonts w:ascii="Times New Roman" w:hAnsi="Times New Roman"/>
                <w:bCs/>
                <w:szCs w:val="21"/>
              </w:rPr>
              <w:t>导体电阻</w:t>
            </w:r>
          </w:p>
        </w:tc>
        <w:tc>
          <w:tcPr>
            <w:tcW w:w="3825" w:type="dxa"/>
            <w:vAlign w:val="center"/>
          </w:tcPr>
          <w:p>
            <w:pPr>
              <w:jc w:val="left"/>
              <w:rPr>
                <w:rFonts w:ascii="Times New Roman" w:hAnsi="Times New Roman"/>
                <w:bCs/>
                <w:szCs w:val="21"/>
                <w:lang w:val="de-DE"/>
              </w:rPr>
            </w:pPr>
            <w:r>
              <w:rPr>
                <w:rFonts w:ascii="Times New Roman" w:hAnsi="Times New Roman"/>
                <w:bCs/>
                <w:szCs w:val="21"/>
                <w:lang w:val="de-DE"/>
              </w:rPr>
              <w:t>GB/T 3956-2008</w:t>
            </w:r>
          </w:p>
          <w:p>
            <w:pPr>
              <w:jc w:val="left"/>
              <w:rPr>
                <w:rFonts w:ascii="Times New Roman" w:hAnsi="Times New Roman"/>
                <w:bCs/>
                <w:szCs w:val="21"/>
                <w:lang w:val="de-DE"/>
              </w:rPr>
            </w:pPr>
            <w:r>
              <w:rPr>
                <w:rFonts w:ascii="Times New Roman" w:hAnsi="Times New Roman"/>
                <w:bCs/>
                <w:szCs w:val="21"/>
                <w:lang w:val="de-DE"/>
              </w:rPr>
              <w:t>GB/T 12706.1-20</w:t>
            </w:r>
            <w:r>
              <w:rPr>
                <w:rFonts w:hint="eastAsia" w:ascii="Times New Roman" w:hAnsi="Times New Roman"/>
                <w:bCs/>
                <w:szCs w:val="21"/>
                <w:lang w:val="de-DE"/>
              </w:rPr>
              <w:t>20</w:t>
            </w:r>
          </w:p>
          <w:p>
            <w:pPr>
              <w:jc w:val="left"/>
              <w:rPr>
                <w:rFonts w:ascii="Times New Roman" w:hAnsi="Times New Roman"/>
                <w:bCs/>
                <w:szCs w:val="21"/>
                <w:lang w:val="de-DE"/>
              </w:rPr>
            </w:pPr>
            <w:r>
              <w:rPr>
                <w:rFonts w:ascii="Times New Roman" w:hAnsi="Times New Roman"/>
                <w:bCs/>
                <w:szCs w:val="21"/>
                <w:lang w:val="de-DE"/>
              </w:rPr>
              <w:t>GB/T 3048.4-2007</w:t>
            </w:r>
          </w:p>
          <w:p>
            <w:pPr>
              <w:jc w:val="left"/>
              <w:rPr>
                <w:rFonts w:ascii="Times New Roman" w:hAnsi="Times New Roman"/>
                <w:bCs/>
                <w:szCs w:val="21"/>
              </w:rPr>
            </w:pPr>
            <w:r>
              <w:rPr>
                <w:rFonts w:ascii="Times New Roman" w:hAnsi="Times New Roman"/>
                <w:bCs/>
                <w:szCs w:val="21"/>
              </w:rPr>
              <w:t>GB/T 5023.2-2008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hint="eastAsia" w:ascii="Times New Roman" w:hAnsi="Times New Roman"/>
                <w:bCs/>
                <w:szCs w:val="21"/>
              </w:rPr>
              <w:t>6</w:t>
            </w:r>
          </w:p>
        </w:tc>
        <w:tc>
          <w:tcPr>
            <w:tcW w:w="3544" w:type="dxa"/>
            <w:vAlign w:val="center"/>
          </w:tcPr>
          <w:p>
            <w:pPr>
              <w:jc w:val="left"/>
              <w:rPr>
                <w:rFonts w:ascii="Times New Roman" w:hAnsi="Times New Roman"/>
                <w:bCs/>
                <w:szCs w:val="21"/>
              </w:rPr>
            </w:pPr>
            <w:r>
              <w:rPr>
                <w:rFonts w:hint="eastAsia" w:ascii="Times New Roman" w:hAnsi="Times New Roman"/>
                <w:bCs/>
                <w:szCs w:val="21"/>
              </w:rPr>
              <w:t>4h电压试验</w:t>
            </w:r>
          </w:p>
        </w:tc>
        <w:tc>
          <w:tcPr>
            <w:tcW w:w="3825" w:type="dxa"/>
            <w:vAlign w:val="center"/>
          </w:tcPr>
          <w:p>
            <w:pPr>
              <w:jc w:val="left"/>
              <w:rPr>
                <w:rFonts w:ascii="Times New Roman" w:hAnsi="Times New Roman"/>
                <w:bCs/>
                <w:szCs w:val="21"/>
              </w:rPr>
            </w:pPr>
            <w:r>
              <w:rPr>
                <w:rFonts w:hint="eastAsia" w:ascii="Times New Roman" w:hAnsi="Times New Roman"/>
                <w:bCs/>
                <w:szCs w:val="21"/>
              </w:rPr>
              <w:t>GB/T 12706.1-2020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hint="eastAsia" w:ascii="Times New Roman" w:hAnsi="Times New Roman"/>
                <w:bCs/>
                <w:szCs w:val="21"/>
              </w:rPr>
              <w:t>7</w:t>
            </w:r>
          </w:p>
        </w:tc>
        <w:tc>
          <w:tcPr>
            <w:tcW w:w="3544" w:type="dxa"/>
            <w:vAlign w:val="center"/>
          </w:tcPr>
          <w:p>
            <w:pPr>
              <w:jc w:val="left"/>
              <w:rPr>
                <w:rFonts w:ascii="Times New Roman" w:hAnsi="Times New Roman"/>
                <w:bCs/>
                <w:szCs w:val="21"/>
              </w:rPr>
            </w:pPr>
            <w:r>
              <w:rPr>
                <w:rFonts w:hint="eastAsia" w:ascii="Times New Roman" w:hAnsi="Times New Roman"/>
                <w:bCs/>
                <w:szCs w:val="21"/>
              </w:rPr>
              <w:t>成品电缆电压试验</w:t>
            </w:r>
          </w:p>
        </w:tc>
        <w:tc>
          <w:tcPr>
            <w:tcW w:w="3825" w:type="dxa"/>
            <w:vAlign w:val="center"/>
          </w:tcPr>
          <w:p>
            <w:pPr>
              <w:jc w:val="left"/>
              <w:rPr>
                <w:rFonts w:ascii="Times New Roman" w:hAnsi="Times New Roman"/>
                <w:bCs/>
                <w:szCs w:val="21"/>
              </w:rPr>
            </w:pPr>
            <w:r>
              <w:rPr>
                <w:rFonts w:hint="eastAsia" w:ascii="Times New Roman" w:hAnsi="Times New Roman"/>
                <w:bCs/>
                <w:szCs w:val="21"/>
              </w:rPr>
              <w:t>GB/T 3048.8-2007</w:t>
            </w:r>
          </w:p>
          <w:p>
            <w:pPr>
              <w:jc w:val="left"/>
              <w:rPr>
                <w:rFonts w:ascii="Times New Roman" w:hAnsi="Times New Roman"/>
                <w:bCs/>
                <w:szCs w:val="21"/>
              </w:rPr>
            </w:pPr>
            <w:r>
              <w:rPr>
                <w:rFonts w:ascii="Times New Roman" w:hAnsi="Times New Roman"/>
                <w:bCs/>
                <w:szCs w:val="21"/>
              </w:rPr>
              <w:t>GB/T 5023.2-2008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hint="eastAsia" w:ascii="Times New Roman" w:hAnsi="Times New Roman"/>
                <w:bCs/>
                <w:szCs w:val="21"/>
              </w:rPr>
              <w:t>8</w:t>
            </w:r>
          </w:p>
        </w:tc>
        <w:tc>
          <w:tcPr>
            <w:tcW w:w="3544" w:type="dxa"/>
            <w:vAlign w:val="center"/>
          </w:tcPr>
          <w:p>
            <w:pPr>
              <w:jc w:val="left"/>
              <w:rPr>
                <w:rFonts w:ascii="Times New Roman" w:hAnsi="Times New Roman"/>
                <w:bCs/>
                <w:szCs w:val="21"/>
              </w:rPr>
            </w:pPr>
            <w:r>
              <w:rPr>
                <w:rFonts w:hint="eastAsia" w:ascii="Times New Roman" w:hAnsi="Times New Roman"/>
                <w:bCs/>
                <w:szCs w:val="21"/>
              </w:rPr>
              <w:t>绝缘线芯电压试验</w:t>
            </w:r>
          </w:p>
        </w:tc>
        <w:tc>
          <w:tcPr>
            <w:tcW w:w="3825" w:type="dxa"/>
            <w:vAlign w:val="center"/>
          </w:tcPr>
          <w:p>
            <w:pPr>
              <w:jc w:val="left"/>
              <w:rPr>
                <w:rFonts w:ascii="Times New Roman" w:hAnsi="Times New Roman"/>
                <w:bCs/>
                <w:szCs w:val="21"/>
              </w:rPr>
            </w:pPr>
            <w:r>
              <w:rPr>
                <w:rFonts w:hint="eastAsia" w:ascii="Times New Roman" w:hAnsi="Times New Roman"/>
                <w:bCs/>
                <w:szCs w:val="21"/>
              </w:rPr>
              <w:t>GB/T 3048.8-2007</w:t>
            </w:r>
          </w:p>
          <w:p>
            <w:pPr>
              <w:jc w:val="left"/>
              <w:rPr>
                <w:rFonts w:ascii="Times New Roman" w:hAnsi="Times New Roman"/>
                <w:bCs/>
                <w:szCs w:val="21"/>
              </w:rPr>
            </w:pPr>
            <w:r>
              <w:rPr>
                <w:rFonts w:ascii="Times New Roman" w:hAnsi="Times New Roman"/>
                <w:bCs/>
                <w:szCs w:val="21"/>
              </w:rPr>
              <w:t>GB/T 5023.2-2008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hint="eastAsia" w:ascii="Times New Roman" w:hAnsi="Times New Roman"/>
                <w:bCs/>
                <w:szCs w:val="21"/>
              </w:rPr>
              <w:t>9</w:t>
            </w:r>
          </w:p>
        </w:tc>
        <w:tc>
          <w:tcPr>
            <w:tcW w:w="3544" w:type="dxa"/>
            <w:vAlign w:val="center"/>
          </w:tcPr>
          <w:p>
            <w:pPr>
              <w:jc w:val="left"/>
              <w:rPr>
                <w:rFonts w:ascii="Times New Roman" w:hAnsi="Times New Roman"/>
                <w:bCs/>
                <w:szCs w:val="21"/>
              </w:rPr>
            </w:pPr>
            <w:r>
              <w:rPr>
                <w:rFonts w:hint="eastAsia" w:ascii="Times New Roman" w:hAnsi="Times New Roman"/>
                <w:bCs/>
                <w:szCs w:val="21"/>
              </w:rPr>
              <w:t>绝缘电阻</w:t>
            </w:r>
          </w:p>
        </w:tc>
        <w:tc>
          <w:tcPr>
            <w:tcW w:w="3825" w:type="dxa"/>
            <w:vAlign w:val="center"/>
          </w:tcPr>
          <w:p>
            <w:pPr>
              <w:jc w:val="left"/>
              <w:rPr>
                <w:rFonts w:ascii="Times New Roman" w:hAnsi="Times New Roman"/>
                <w:bCs/>
                <w:szCs w:val="21"/>
              </w:rPr>
            </w:pPr>
            <w:r>
              <w:rPr>
                <w:rFonts w:hint="eastAsia" w:ascii="Times New Roman" w:hAnsi="Times New Roman"/>
                <w:bCs/>
                <w:szCs w:val="21"/>
              </w:rPr>
              <w:t>GB/T 3048.5-2007</w:t>
            </w:r>
          </w:p>
          <w:p>
            <w:pPr>
              <w:jc w:val="left"/>
              <w:rPr>
                <w:rFonts w:ascii="Times New Roman" w:hAnsi="Times New Roman"/>
                <w:bCs/>
                <w:szCs w:val="21"/>
              </w:rPr>
            </w:pPr>
            <w:r>
              <w:rPr>
                <w:rFonts w:ascii="Times New Roman" w:hAnsi="Times New Roman"/>
                <w:bCs/>
                <w:szCs w:val="21"/>
              </w:rPr>
              <w:t>GB/T 5023.2-2008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hint="eastAsia" w:ascii="Times New Roman" w:hAnsi="Times New Roman"/>
                <w:bCs/>
                <w:szCs w:val="21"/>
              </w:rPr>
              <w:t>10</w:t>
            </w:r>
          </w:p>
        </w:tc>
        <w:tc>
          <w:tcPr>
            <w:tcW w:w="3544" w:type="dxa"/>
            <w:vAlign w:val="center"/>
          </w:tcPr>
          <w:p>
            <w:pPr>
              <w:jc w:val="left"/>
              <w:rPr>
                <w:rFonts w:ascii="Times New Roman" w:hAnsi="Times New Roman"/>
                <w:bCs/>
                <w:szCs w:val="21"/>
              </w:rPr>
            </w:pPr>
            <w:r>
              <w:rPr>
                <w:rFonts w:hint="eastAsia" w:ascii="宋体" w:hAnsi="宋体"/>
                <w:color w:val="000000"/>
                <w:szCs w:val="21"/>
              </w:rPr>
              <w:t>导体最高温度下绝缘电阻常数</w:t>
            </w:r>
          </w:p>
        </w:tc>
        <w:tc>
          <w:tcPr>
            <w:tcW w:w="3825" w:type="dxa"/>
            <w:vAlign w:val="center"/>
          </w:tcPr>
          <w:p>
            <w:pPr>
              <w:jc w:val="left"/>
              <w:rPr>
                <w:rFonts w:ascii="Times New Roman" w:hAnsi="Times New Roman"/>
                <w:bCs/>
                <w:szCs w:val="21"/>
              </w:rPr>
            </w:pPr>
            <w:r>
              <w:rPr>
                <w:rFonts w:hint="eastAsia" w:ascii="Times New Roman" w:hAnsi="Times New Roman"/>
                <w:bCs/>
                <w:szCs w:val="21"/>
              </w:rPr>
              <w:t>GB/T 12706.1-2020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hint="eastAsia" w:ascii="Times New Roman" w:hAnsi="Times New Roman"/>
                <w:bCs/>
                <w:szCs w:val="21"/>
              </w:rPr>
              <w:t>11</w:t>
            </w:r>
          </w:p>
        </w:tc>
        <w:tc>
          <w:tcPr>
            <w:tcW w:w="3544" w:type="dxa"/>
            <w:vAlign w:val="center"/>
          </w:tcPr>
          <w:p>
            <w:pPr>
              <w:jc w:val="left"/>
              <w:rPr>
                <w:rFonts w:ascii="Times New Roman" w:hAnsi="Times New Roman"/>
                <w:bCs/>
                <w:szCs w:val="21"/>
              </w:rPr>
            </w:pPr>
            <w:r>
              <w:rPr>
                <w:rFonts w:ascii="Times New Roman" w:hAnsi="Times New Roman"/>
                <w:bCs/>
                <w:szCs w:val="21"/>
              </w:rPr>
              <w:t>绝缘老化前抗张强度</w:t>
            </w:r>
          </w:p>
        </w:tc>
        <w:tc>
          <w:tcPr>
            <w:tcW w:w="3825" w:type="dxa"/>
            <w:vMerge w:val="restart"/>
            <w:vAlign w:val="center"/>
          </w:tcPr>
          <w:p>
            <w:pPr>
              <w:jc w:val="left"/>
              <w:rPr>
                <w:rFonts w:ascii="Times New Roman" w:hAnsi="Times New Roman"/>
                <w:bCs/>
                <w:szCs w:val="21"/>
              </w:rPr>
            </w:pPr>
            <w:r>
              <w:rPr>
                <w:rFonts w:ascii="Times New Roman" w:hAnsi="Times New Roman"/>
                <w:bCs/>
                <w:szCs w:val="21"/>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hint="eastAsia" w:ascii="Times New Roman" w:hAnsi="Times New Roman"/>
                <w:bCs/>
                <w:szCs w:val="21"/>
              </w:rPr>
              <w:t>12</w:t>
            </w:r>
          </w:p>
        </w:tc>
        <w:tc>
          <w:tcPr>
            <w:tcW w:w="3544" w:type="dxa"/>
            <w:vAlign w:val="center"/>
          </w:tcPr>
          <w:p>
            <w:pPr>
              <w:jc w:val="left"/>
              <w:rPr>
                <w:rFonts w:ascii="Times New Roman" w:hAnsi="Times New Roman"/>
                <w:bCs/>
                <w:szCs w:val="21"/>
              </w:rPr>
            </w:pPr>
            <w:r>
              <w:rPr>
                <w:rFonts w:ascii="Times New Roman" w:hAnsi="Times New Roman"/>
                <w:bCs/>
                <w:szCs w:val="21"/>
              </w:rPr>
              <w:t>绝缘老化前断裂伸长率</w:t>
            </w:r>
          </w:p>
        </w:tc>
        <w:tc>
          <w:tcPr>
            <w:tcW w:w="3825" w:type="dxa"/>
            <w:vMerge w:val="continue"/>
            <w:vAlign w:val="center"/>
          </w:tcPr>
          <w:p>
            <w:pPr>
              <w:jc w:val="left"/>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hint="eastAsia" w:ascii="Times New Roman" w:hAnsi="Times New Roman"/>
                <w:bCs/>
                <w:szCs w:val="21"/>
              </w:rPr>
              <w:t>13</w:t>
            </w:r>
          </w:p>
        </w:tc>
        <w:tc>
          <w:tcPr>
            <w:tcW w:w="3544" w:type="dxa"/>
            <w:vAlign w:val="center"/>
          </w:tcPr>
          <w:p>
            <w:pPr>
              <w:jc w:val="left"/>
              <w:rPr>
                <w:rFonts w:ascii="Times New Roman" w:hAnsi="Times New Roman"/>
                <w:bCs/>
                <w:szCs w:val="21"/>
              </w:rPr>
            </w:pPr>
            <w:r>
              <w:rPr>
                <w:rFonts w:ascii="Times New Roman" w:hAnsi="Times New Roman"/>
                <w:bCs/>
                <w:szCs w:val="21"/>
              </w:rPr>
              <w:t>绝缘老化后抗张强度</w:t>
            </w:r>
          </w:p>
        </w:tc>
        <w:tc>
          <w:tcPr>
            <w:tcW w:w="3825" w:type="dxa"/>
            <w:vMerge w:val="restart"/>
            <w:vAlign w:val="center"/>
          </w:tcPr>
          <w:p>
            <w:pPr>
              <w:jc w:val="left"/>
              <w:rPr>
                <w:rFonts w:ascii="Times New Roman" w:hAnsi="Times New Roman"/>
                <w:bCs/>
                <w:szCs w:val="21"/>
              </w:rPr>
            </w:pPr>
            <w:r>
              <w:rPr>
                <w:rFonts w:ascii="Times New Roman" w:hAnsi="Times New Roman"/>
                <w:bCs/>
                <w:szCs w:val="21"/>
              </w:rPr>
              <w:t>GB/T 2951.11-2008</w:t>
            </w:r>
          </w:p>
          <w:p>
            <w:pPr>
              <w:jc w:val="left"/>
              <w:rPr>
                <w:rFonts w:ascii="Times New Roman" w:hAnsi="Times New Roman"/>
                <w:bCs/>
                <w:szCs w:val="21"/>
              </w:rPr>
            </w:pPr>
            <w:r>
              <w:rPr>
                <w:rFonts w:ascii="Times New Roman" w:hAnsi="Times New Roman"/>
                <w:bCs/>
                <w:szCs w:val="21"/>
              </w:rPr>
              <w:t>GB/T 2951.12-2008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hint="eastAsia" w:ascii="Times New Roman" w:hAnsi="Times New Roman"/>
                <w:bCs/>
                <w:szCs w:val="21"/>
              </w:rPr>
              <w:t>14</w:t>
            </w:r>
          </w:p>
        </w:tc>
        <w:tc>
          <w:tcPr>
            <w:tcW w:w="3544" w:type="dxa"/>
            <w:vAlign w:val="center"/>
          </w:tcPr>
          <w:p>
            <w:pPr>
              <w:jc w:val="left"/>
              <w:rPr>
                <w:rFonts w:ascii="Times New Roman" w:hAnsi="Times New Roman"/>
                <w:bCs/>
                <w:szCs w:val="21"/>
              </w:rPr>
            </w:pPr>
            <w:r>
              <w:rPr>
                <w:rFonts w:ascii="Times New Roman" w:hAnsi="Times New Roman"/>
                <w:bCs/>
                <w:szCs w:val="21"/>
              </w:rPr>
              <w:t>绝缘老化前后抗张强度变化率</w:t>
            </w:r>
          </w:p>
        </w:tc>
        <w:tc>
          <w:tcPr>
            <w:tcW w:w="3825" w:type="dxa"/>
            <w:vMerge w:val="continue"/>
            <w:vAlign w:val="center"/>
          </w:tcPr>
          <w:p>
            <w:pPr>
              <w:jc w:val="left"/>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hint="eastAsia" w:ascii="Times New Roman" w:hAnsi="Times New Roman"/>
                <w:bCs/>
                <w:szCs w:val="21"/>
              </w:rPr>
              <w:t>15</w:t>
            </w:r>
          </w:p>
        </w:tc>
        <w:tc>
          <w:tcPr>
            <w:tcW w:w="3544" w:type="dxa"/>
            <w:vAlign w:val="center"/>
          </w:tcPr>
          <w:p>
            <w:pPr>
              <w:jc w:val="left"/>
              <w:rPr>
                <w:rFonts w:ascii="Times New Roman" w:hAnsi="Times New Roman"/>
                <w:bCs/>
                <w:szCs w:val="21"/>
              </w:rPr>
            </w:pPr>
            <w:r>
              <w:rPr>
                <w:rFonts w:ascii="Times New Roman" w:hAnsi="Times New Roman"/>
                <w:bCs/>
                <w:szCs w:val="21"/>
              </w:rPr>
              <w:t>绝缘老化后断裂伸长率</w:t>
            </w:r>
          </w:p>
        </w:tc>
        <w:tc>
          <w:tcPr>
            <w:tcW w:w="3825" w:type="dxa"/>
            <w:vMerge w:val="continue"/>
            <w:vAlign w:val="center"/>
          </w:tcPr>
          <w:p>
            <w:pPr>
              <w:jc w:val="left"/>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hint="eastAsia" w:ascii="Times New Roman" w:hAnsi="Times New Roman"/>
                <w:bCs/>
                <w:szCs w:val="21"/>
              </w:rPr>
              <w:t>16</w:t>
            </w:r>
          </w:p>
        </w:tc>
        <w:tc>
          <w:tcPr>
            <w:tcW w:w="3544" w:type="dxa"/>
            <w:vAlign w:val="center"/>
          </w:tcPr>
          <w:p>
            <w:pPr>
              <w:jc w:val="left"/>
              <w:rPr>
                <w:rFonts w:ascii="Times New Roman" w:hAnsi="Times New Roman"/>
                <w:bCs/>
                <w:szCs w:val="21"/>
              </w:rPr>
            </w:pPr>
            <w:r>
              <w:rPr>
                <w:rFonts w:ascii="Times New Roman" w:hAnsi="Times New Roman"/>
                <w:bCs/>
                <w:szCs w:val="21"/>
              </w:rPr>
              <w:t>绝缘老化前后断裂伸长率变化率</w:t>
            </w:r>
          </w:p>
        </w:tc>
        <w:tc>
          <w:tcPr>
            <w:tcW w:w="3825" w:type="dxa"/>
            <w:vMerge w:val="continue"/>
            <w:vAlign w:val="center"/>
          </w:tcPr>
          <w:p>
            <w:pPr>
              <w:jc w:val="left"/>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hint="eastAsia" w:ascii="Times New Roman" w:hAnsi="Times New Roman"/>
                <w:bCs/>
                <w:szCs w:val="21"/>
              </w:rPr>
              <w:t>17</w:t>
            </w:r>
          </w:p>
        </w:tc>
        <w:tc>
          <w:tcPr>
            <w:tcW w:w="3544" w:type="dxa"/>
            <w:vAlign w:val="center"/>
          </w:tcPr>
          <w:p>
            <w:pPr>
              <w:jc w:val="left"/>
              <w:rPr>
                <w:rFonts w:ascii="Times New Roman" w:hAnsi="Times New Roman"/>
                <w:bCs/>
                <w:szCs w:val="21"/>
              </w:rPr>
            </w:pPr>
            <w:r>
              <w:rPr>
                <w:rFonts w:ascii="Times New Roman" w:hAnsi="Times New Roman"/>
                <w:bCs/>
                <w:szCs w:val="21"/>
              </w:rPr>
              <w:t>护套老化前抗张强度</w:t>
            </w:r>
          </w:p>
        </w:tc>
        <w:tc>
          <w:tcPr>
            <w:tcW w:w="3825" w:type="dxa"/>
            <w:vMerge w:val="restart"/>
            <w:vAlign w:val="center"/>
          </w:tcPr>
          <w:p>
            <w:pPr>
              <w:jc w:val="left"/>
              <w:rPr>
                <w:rFonts w:ascii="Times New Roman" w:hAnsi="Times New Roman"/>
                <w:bCs/>
                <w:szCs w:val="21"/>
              </w:rPr>
            </w:pPr>
            <w:r>
              <w:rPr>
                <w:rFonts w:ascii="Times New Roman" w:hAnsi="Times New Roman"/>
                <w:bCs/>
                <w:szCs w:val="21"/>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hint="eastAsia" w:ascii="Times New Roman" w:hAnsi="Times New Roman"/>
                <w:bCs/>
                <w:szCs w:val="21"/>
              </w:rPr>
              <w:t>18</w:t>
            </w:r>
          </w:p>
        </w:tc>
        <w:tc>
          <w:tcPr>
            <w:tcW w:w="3544" w:type="dxa"/>
            <w:vAlign w:val="center"/>
          </w:tcPr>
          <w:p>
            <w:pPr>
              <w:jc w:val="left"/>
              <w:rPr>
                <w:rFonts w:ascii="Times New Roman" w:hAnsi="Times New Roman"/>
                <w:bCs/>
                <w:szCs w:val="21"/>
              </w:rPr>
            </w:pPr>
            <w:r>
              <w:rPr>
                <w:rFonts w:ascii="Times New Roman" w:hAnsi="Times New Roman"/>
                <w:bCs/>
                <w:szCs w:val="21"/>
              </w:rPr>
              <w:t>护套老化前断裂伸长率</w:t>
            </w:r>
          </w:p>
        </w:tc>
        <w:tc>
          <w:tcPr>
            <w:tcW w:w="3825" w:type="dxa"/>
            <w:vMerge w:val="continue"/>
            <w:vAlign w:val="center"/>
          </w:tcPr>
          <w:p>
            <w:pPr>
              <w:jc w:val="left"/>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hint="eastAsia" w:ascii="Times New Roman" w:hAnsi="Times New Roman"/>
                <w:bCs/>
                <w:szCs w:val="21"/>
              </w:rPr>
              <w:t>19</w:t>
            </w:r>
          </w:p>
        </w:tc>
        <w:tc>
          <w:tcPr>
            <w:tcW w:w="3544" w:type="dxa"/>
            <w:vAlign w:val="center"/>
          </w:tcPr>
          <w:p>
            <w:pPr>
              <w:jc w:val="left"/>
              <w:rPr>
                <w:rFonts w:ascii="Times New Roman" w:hAnsi="Times New Roman"/>
                <w:bCs/>
                <w:szCs w:val="21"/>
              </w:rPr>
            </w:pPr>
            <w:r>
              <w:rPr>
                <w:rFonts w:ascii="Times New Roman" w:hAnsi="Times New Roman"/>
                <w:bCs/>
                <w:szCs w:val="21"/>
              </w:rPr>
              <w:t>护套老化后抗张强度</w:t>
            </w:r>
          </w:p>
        </w:tc>
        <w:tc>
          <w:tcPr>
            <w:tcW w:w="3825" w:type="dxa"/>
            <w:vMerge w:val="restart"/>
            <w:vAlign w:val="center"/>
          </w:tcPr>
          <w:p>
            <w:pPr>
              <w:jc w:val="left"/>
              <w:rPr>
                <w:rFonts w:ascii="Times New Roman" w:hAnsi="Times New Roman"/>
                <w:bCs/>
                <w:szCs w:val="21"/>
              </w:rPr>
            </w:pPr>
            <w:r>
              <w:rPr>
                <w:rFonts w:ascii="Times New Roman" w:hAnsi="Times New Roman"/>
                <w:bCs/>
                <w:szCs w:val="21"/>
              </w:rPr>
              <w:t>GB/T 2951.11-2008</w:t>
            </w:r>
          </w:p>
          <w:p>
            <w:pPr>
              <w:jc w:val="left"/>
              <w:rPr>
                <w:rFonts w:ascii="Times New Roman" w:hAnsi="Times New Roman"/>
                <w:bCs/>
                <w:szCs w:val="21"/>
              </w:rPr>
            </w:pPr>
            <w:r>
              <w:rPr>
                <w:rFonts w:ascii="Times New Roman" w:hAnsi="Times New Roman"/>
                <w:bCs/>
                <w:szCs w:val="21"/>
              </w:rPr>
              <w:t>GB/T 2951.12-2008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hint="eastAsia" w:ascii="Times New Roman" w:hAnsi="Times New Roman"/>
                <w:bCs/>
                <w:szCs w:val="21"/>
              </w:rPr>
              <w:t>20</w:t>
            </w:r>
          </w:p>
        </w:tc>
        <w:tc>
          <w:tcPr>
            <w:tcW w:w="3544" w:type="dxa"/>
            <w:vAlign w:val="center"/>
          </w:tcPr>
          <w:p>
            <w:pPr>
              <w:jc w:val="left"/>
              <w:rPr>
                <w:rFonts w:ascii="Times New Roman" w:hAnsi="Times New Roman"/>
                <w:bCs/>
                <w:szCs w:val="21"/>
              </w:rPr>
            </w:pPr>
            <w:r>
              <w:rPr>
                <w:rFonts w:ascii="Times New Roman" w:hAnsi="Times New Roman"/>
                <w:bCs/>
                <w:szCs w:val="21"/>
              </w:rPr>
              <w:t>护套老化前后抗张强度变化率</w:t>
            </w:r>
          </w:p>
        </w:tc>
        <w:tc>
          <w:tcPr>
            <w:tcW w:w="3825" w:type="dxa"/>
            <w:vMerge w:val="continue"/>
            <w:vAlign w:val="center"/>
          </w:tcPr>
          <w:p>
            <w:pPr>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hint="eastAsia" w:ascii="Times New Roman" w:hAnsi="Times New Roman"/>
                <w:bCs/>
                <w:szCs w:val="21"/>
              </w:rPr>
              <w:t>21</w:t>
            </w:r>
          </w:p>
        </w:tc>
        <w:tc>
          <w:tcPr>
            <w:tcW w:w="3544" w:type="dxa"/>
            <w:vAlign w:val="center"/>
          </w:tcPr>
          <w:p>
            <w:pPr>
              <w:jc w:val="left"/>
              <w:rPr>
                <w:rFonts w:ascii="Times New Roman" w:hAnsi="Times New Roman"/>
                <w:bCs/>
                <w:szCs w:val="21"/>
              </w:rPr>
            </w:pPr>
            <w:r>
              <w:rPr>
                <w:rFonts w:ascii="Times New Roman" w:hAnsi="Times New Roman"/>
                <w:bCs/>
                <w:szCs w:val="21"/>
              </w:rPr>
              <w:t>护套老化后断裂伸长率</w:t>
            </w:r>
          </w:p>
        </w:tc>
        <w:tc>
          <w:tcPr>
            <w:tcW w:w="3825" w:type="dxa"/>
            <w:vMerge w:val="continue"/>
            <w:vAlign w:val="center"/>
          </w:tcPr>
          <w:p>
            <w:pPr>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hint="eastAsia" w:ascii="Times New Roman" w:hAnsi="Times New Roman"/>
                <w:bCs/>
                <w:szCs w:val="21"/>
              </w:rPr>
              <w:t>22</w:t>
            </w:r>
          </w:p>
        </w:tc>
        <w:tc>
          <w:tcPr>
            <w:tcW w:w="3544" w:type="dxa"/>
            <w:vAlign w:val="center"/>
          </w:tcPr>
          <w:p>
            <w:pPr>
              <w:jc w:val="left"/>
              <w:rPr>
                <w:rFonts w:ascii="Times New Roman" w:hAnsi="Times New Roman"/>
                <w:bCs/>
                <w:szCs w:val="21"/>
              </w:rPr>
            </w:pPr>
            <w:r>
              <w:rPr>
                <w:rFonts w:ascii="Times New Roman" w:hAnsi="Times New Roman"/>
                <w:bCs/>
                <w:szCs w:val="21"/>
              </w:rPr>
              <w:t>护套老化前后断裂伸长率变化率</w:t>
            </w:r>
          </w:p>
        </w:tc>
        <w:tc>
          <w:tcPr>
            <w:tcW w:w="3825" w:type="dxa"/>
            <w:vMerge w:val="continue"/>
            <w:vAlign w:val="center"/>
          </w:tcPr>
          <w:p>
            <w:pPr>
              <w:jc w:val="left"/>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jc w:val="center"/>
              <w:rPr>
                <w:rFonts w:hint="eastAsia"/>
                <w:bCs/>
                <w:color w:val="000000"/>
                <w:szCs w:val="21"/>
              </w:rPr>
            </w:pPr>
            <w:r>
              <w:rPr>
                <w:bCs/>
                <w:color w:val="000000"/>
                <w:szCs w:val="21"/>
              </w:rPr>
              <w:t>2</w:t>
            </w:r>
            <w:r>
              <w:rPr>
                <w:rFonts w:hint="eastAsia"/>
                <w:bCs/>
                <w:color w:val="000000"/>
                <w:szCs w:val="21"/>
              </w:rPr>
              <w:t>3</w:t>
            </w:r>
          </w:p>
        </w:tc>
        <w:tc>
          <w:tcPr>
            <w:tcW w:w="3544" w:type="dxa"/>
            <w:vAlign w:val="center"/>
          </w:tcPr>
          <w:p>
            <w:pPr>
              <w:jc w:val="left"/>
              <w:rPr>
                <w:bCs/>
                <w:color w:val="000000"/>
                <w:szCs w:val="21"/>
              </w:rPr>
            </w:pPr>
            <w:r>
              <w:rPr>
                <w:bCs/>
                <w:color w:val="000000"/>
                <w:szCs w:val="21"/>
              </w:rPr>
              <w:t>单根垂直燃烧试验</w:t>
            </w:r>
          </w:p>
        </w:tc>
        <w:tc>
          <w:tcPr>
            <w:tcW w:w="3825" w:type="dxa"/>
            <w:vAlign w:val="center"/>
          </w:tcPr>
          <w:p>
            <w:pPr>
              <w:jc w:val="left"/>
              <w:rPr>
                <w:bCs/>
                <w:color w:val="000000"/>
                <w:szCs w:val="21"/>
              </w:rPr>
            </w:pPr>
            <w:r>
              <w:rPr>
                <w:bCs/>
                <w:color w:val="000000"/>
                <w:szCs w:val="21"/>
              </w:rPr>
              <w:t>GB/T 18380.12-2008</w:t>
            </w:r>
          </w:p>
          <w:p>
            <w:pPr>
              <w:jc w:val="left"/>
              <w:rPr>
                <w:bCs/>
                <w:color w:val="000000"/>
                <w:szCs w:val="21"/>
              </w:rPr>
            </w:pPr>
            <w:r>
              <w:rPr>
                <w:bCs/>
                <w:color w:val="000000"/>
                <w:szCs w:val="21"/>
              </w:rPr>
              <w:t>GB/T 18380.13-2008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jc w:val="center"/>
              <w:rPr>
                <w:rFonts w:hint="eastAsia"/>
                <w:bCs/>
                <w:color w:val="000000"/>
                <w:szCs w:val="21"/>
              </w:rPr>
            </w:pPr>
            <w:r>
              <w:rPr>
                <w:bCs/>
                <w:color w:val="000000"/>
                <w:szCs w:val="21"/>
              </w:rPr>
              <w:t>2</w:t>
            </w:r>
            <w:r>
              <w:rPr>
                <w:rFonts w:hint="eastAsia"/>
                <w:bCs/>
                <w:color w:val="000000"/>
                <w:szCs w:val="21"/>
              </w:rPr>
              <w:t>4</w:t>
            </w:r>
          </w:p>
        </w:tc>
        <w:tc>
          <w:tcPr>
            <w:tcW w:w="3544" w:type="dxa"/>
            <w:vAlign w:val="center"/>
          </w:tcPr>
          <w:p>
            <w:pPr>
              <w:jc w:val="left"/>
              <w:rPr>
                <w:bCs/>
                <w:color w:val="000000"/>
                <w:szCs w:val="21"/>
              </w:rPr>
            </w:pPr>
            <w:r>
              <w:rPr>
                <w:bCs/>
                <w:color w:val="000000"/>
                <w:szCs w:val="21"/>
              </w:rPr>
              <w:t>成束阻燃性能</w:t>
            </w:r>
          </w:p>
        </w:tc>
        <w:tc>
          <w:tcPr>
            <w:tcW w:w="3825" w:type="dxa"/>
            <w:vAlign w:val="center"/>
          </w:tcPr>
          <w:p>
            <w:pPr>
              <w:jc w:val="left"/>
              <w:rPr>
                <w:bCs/>
                <w:color w:val="000000"/>
                <w:szCs w:val="21"/>
                <w:lang w:val="de-DE"/>
              </w:rPr>
            </w:pPr>
            <w:r>
              <w:rPr>
                <w:bCs/>
                <w:color w:val="000000"/>
                <w:szCs w:val="21"/>
                <w:lang w:val="de-DE"/>
              </w:rPr>
              <w:t>GB/T 18380.33-2008</w:t>
            </w:r>
          </w:p>
          <w:p>
            <w:pPr>
              <w:jc w:val="left"/>
              <w:rPr>
                <w:bCs/>
                <w:color w:val="000000"/>
                <w:szCs w:val="21"/>
                <w:lang w:val="de-DE"/>
              </w:rPr>
            </w:pPr>
            <w:r>
              <w:rPr>
                <w:bCs/>
                <w:color w:val="000000"/>
                <w:szCs w:val="21"/>
                <w:lang w:val="de-DE"/>
              </w:rPr>
              <w:t>GB/T 18380.34-2008</w:t>
            </w:r>
          </w:p>
          <w:p>
            <w:pPr>
              <w:jc w:val="left"/>
              <w:rPr>
                <w:bCs/>
                <w:color w:val="000000"/>
                <w:szCs w:val="21"/>
                <w:lang w:val="de-DE"/>
              </w:rPr>
            </w:pPr>
            <w:r>
              <w:rPr>
                <w:bCs/>
                <w:color w:val="000000"/>
                <w:szCs w:val="21"/>
                <w:lang w:val="de-DE"/>
              </w:rPr>
              <w:t>GB/T 18380.35-2008</w:t>
            </w:r>
          </w:p>
          <w:p>
            <w:pPr>
              <w:jc w:val="left"/>
              <w:rPr>
                <w:bCs/>
                <w:color w:val="000000"/>
                <w:szCs w:val="21"/>
              </w:rPr>
            </w:pPr>
            <w:r>
              <w:rPr>
                <w:bCs/>
                <w:color w:val="000000"/>
                <w:szCs w:val="21"/>
              </w:rPr>
              <w:t>GB/T 18380.36-2008</w:t>
            </w:r>
          </w:p>
        </w:tc>
      </w:tr>
    </w:tbl>
    <w:p>
      <w:pPr>
        <w:spacing w:line="440" w:lineRule="exact"/>
        <w:rPr>
          <w:rFonts w:ascii="仿宋" w:hAnsi="仿宋" w:eastAsia="仿宋" w:cs="仿宋"/>
          <w:color w:val="000000"/>
          <w:sz w:val="28"/>
          <w:szCs w:val="28"/>
        </w:rPr>
      </w:pPr>
    </w:p>
    <w:p>
      <w:pPr>
        <w:adjustRightInd w:val="0"/>
        <w:snapToGrid w:val="0"/>
        <w:spacing w:line="4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执行企业标准、团体标准、地方标准的产品，检验项目参照上述内容执行。</w:t>
      </w:r>
    </w:p>
    <w:p>
      <w:pPr>
        <w:spacing w:line="4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凡是注日期的文件，其随后所有的修改单（不包括勘误的内容）或修订版不适用于本细则。凡是不注日期的文件，其最新版本适用于本细则。</w:t>
      </w:r>
    </w:p>
    <w:p>
      <w:pPr>
        <w:spacing w:line="440" w:lineRule="exact"/>
        <w:ind w:firstLine="560" w:firstLineChars="200"/>
        <w:rPr>
          <w:rFonts w:ascii="仿宋" w:hAnsi="仿宋" w:eastAsia="仿宋" w:cs="仿宋"/>
          <w:color w:val="000000"/>
          <w:sz w:val="28"/>
          <w:szCs w:val="28"/>
        </w:rPr>
      </w:pPr>
    </w:p>
    <w:p>
      <w:pPr>
        <w:spacing w:line="520" w:lineRule="exact"/>
        <w:rPr>
          <w:rFonts w:ascii="仿宋_GB2312" w:hAnsi="仿宋" w:eastAsia="仿宋_GB2312" w:cs="仿宋"/>
          <w:color w:val="000000"/>
          <w:sz w:val="28"/>
          <w:szCs w:val="28"/>
        </w:rPr>
      </w:pPr>
      <w:r>
        <w:rPr>
          <w:rFonts w:hint="eastAsia" w:ascii="仿宋_GB2312" w:hAnsi="仿宋" w:eastAsia="仿宋_GB2312" w:cs="仿宋"/>
          <w:color w:val="000000"/>
          <w:sz w:val="28"/>
          <w:szCs w:val="28"/>
        </w:rPr>
        <w:t>3 判定规则</w:t>
      </w:r>
    </w:p>
    <w:p>
      <w:pPr>
        <w:snapToGrid w:val="0"/>
        <w:spacing w:line="520" w:lineRule="exact"/>
        <w:rPr>
          <w:rFonts w:ascii="仿宋_GB2312" w:hAnsi="仿宋" w:eastAsia="仿宋_GB2312" w:cs="仿宋"/>
          <w:color w:val="000000"/>
          <w:sz w:val="28"/>
          <w:szCs w:val="28"/>
        </w:rPr>
      </w:pPr>
      <w:r>
        <w:rPr>
          <w:rFonts w:hint="eastAsia" w:ascii="仿宋_GB2312" w:hAnsi="仿宋" w:eastAsia="仿宋_GB2312" w:cs="仿宋"/>
          <w:color w:val="000000"/>
          <w:sz w:val="28"/>
          <w:szCs w:val="28"/>
        </w:rPr>
        <w:t>3.1依据标准</w:t>
      </w:r>
    </w:p>
    <w:p>
      <w:pPr>
        <w:spacing w:line="440" w:lineRule="exact"/>
        <w:ind w:firstLine="560" w:firstLineChars="200"/>
        <w:rPr>
          <w:rFonts w:ascii="仿宋_GB2312" w:hAnsi="Times New Roman" w:eastAsia="仿宋_GB2312"/>
          <w:color w:val="000000"/>
          <w:sz w:val="28"/>
          <w:szCs w:val="28"/>
        </w:rPr>
      </w:pPr>
      <w:r>
        <w:rPr>
          <w:rFonts w:ascii="仿宋_GB2312" w:hAnsi="Times New Roman" w:eastAsia="仿宋_GB2312"/>
          <w:color w:val="000000"/>
          <w:sz w:val="28"/>
          <w:szCs w:val="28"/>
        </w:rPr>
        <w:t>GB/T 5023.3-2008 额定电压450/750V及以下聚氯乙烯绝缘电缆 第3部分：固定布线用无护套电缆</w:t>
      </w:r>
    </w:p>
    <w:p>
      <w:pPr>
        <w:spacing w:line="440" w:lineRule="exact"/>
        <w:ind w:firstLine="560" w:firstLineChars="200"/>
        <w:rPr>
          <w:rFonts w:ascii="仿宋_GB2312" w:hAnsi="Times New Roman" w:eastAsia="仿宋_GB2312"/>
          <w:color w:val="000000"/>
          <w:sz w:val="28"/>
          <w:szCs w:val="28"/>
        </w:rPr>
      </w:pPr>
      <w:r>
        <w:rPr>
          <w:rFonts w:ascii="仿宋_GB2312" w:hAnsi="Times New Roman" w:eastAsia="仿宋_GB2312"/>
          <w:color w:val="000000"/>
          <w:sz w:val="28"/>
          <w:szCs w:val="28"/>
        </w:rPr>
        <w:t>GB/T 5023.5-2008 额定电压450/750V及以下聚氯乙烯绝缘电缆 第5部分：软电缆（软线）</w:t>
      </w:r>
    </w:p>
    <w:p>
      <w:pPr>
        <w:spacing w:line="440" w:lineRule="exact"/>
        <w:ind w:firstLine="560" w:firstLineChars="200"/>
        <w:rPr>
          <w:rFonts w:ascii="仿宋_GB2312" w:hAnsi="Times New Roman" w:eastAsia="仿宋_GB2312"/>
          <w:color w:val="000000"/>
          <w:sz w:val="28"/>
          <w:szCs w:val="28"/>
        </w:rPr>
      </w:pPr>
      <w:r>
        <w:rPr>
          <w:rFonts w:ascii="仿宋_GB2312" w:hAnsi="Times New Roman" w:eastAsia="仿宋_GB2312"/>
          <w:color w:val="000000"/>
          <w:sz w:val="28"/>
          <w:szCs w:val="28"/>
        </w:rPr>
        <w:t>JB/T 8734.2-2016 额定电压450/750V及以下聚氯乙烯绝缘电缆电线和软线 第2部分：固定布线用电缆电线</w:t>
      </w:r>
    </w:p>
    <w:p>
      <w:pPr>
        <w:spacing w:line="440" w:lineRule="exact"/>
        <w:ind w:firstLine="560" w:firstLineChars="200"/>
        <w:rPr>
          <w:rFonts w:ascii="仿宋_GB2312" w:hAnsi="Times New Roman" w:eastAsia="仿宋_GB2312"/>
          <w:color w:val="000000"/>
          <w:sz w:val="28"/>
          <w:szCs w:val="28"/>
        </w:rPr>
      </w:pPr>
      <w:r>
        <w:rPr>
          <w:rFonts w:ascii="仿宋_GB2312" w:hAnsi="Times New Roman" w:eastAsia="仿宋_GB2312"/>
          <w:color w:val="000000"/>
          <w:sz w:val="28"/>
          <w:szCs w:val="28"/>
        </w:rPr>
        <w:t>JB/T 8734.3-2016 额定电压450/750V及以下聚氯乙烯绝缘电缆电线和软线 第3部分：连接用软电线和软电缆</w:t>
      </w:r>
    </w:p>
    <w:p>
      <w:pPr>
        <w:spacing w:line="440" w:lineRule="exact"/>
        <w:ind w:firstLine="560" w:firstLineChars="200"/>
        <w:rPr>
          <w:rFonts w:ascii="仿宋_GB2312" w:hAnsi="Times New Roman" w:eastAsia="仿宋_GB2312"/>
          <w:color w:val="000000"/>
          <w:sz w:val="28"/>
          <w:szCs w:val="28"/>
        </w:rPr>
      </w:pPr>
      <w:r>
        <w:rPr>
          <w:rFonts w:ascii="仿宋_GB2312" w:hAnsi="Times New Roman" w:eastAsia="仿宋_GB2312"/>
          <w:color w:val="000000"/>
          <w:sz w:val="28"/>
          <w:szCs w:val="28"/>
        </w:rPr>
        <w:t>GB/T 9330-2020 塑料绝缘控制电缆</w:t>
      </w:r>
    </w:p>
    <w:p>
      <w:pPr>
        <w:spacing w:line="440" w:lineRule="exact"/>
        <w:ind w:firstLine="560" w:firstLineChars="200"/>
        <w:rPr>
          <w:rFonts w:ascii="仿宋_GB2312" w:hAnsi="Times New Roman" w:eastAsia="仿宋_GB2312"/>
          <w:color w:val="000000"/>
          <w:sz w:val="28"/>
          <w:szCs w:val="28"/>
        </w:rPr>
      </w:pPr>
      <w:r>
        <w:rPr>
          <w:rFonts w:ascii="仿宋_GB2312" w:hAnsi="Times New Roman" w:eastAsia="仿宋_GB2312"/>
          <w:color w:val="000000"/>
          <w:sz w:val="28"/>
          <w:szCs w:val="28"/>
        </w:rPr>
        <w:t>GB/T 12706.1-2020 额定电压1 kV（Um=1.2 kV）到35 kV（Um=40.5 kV）挤包绝缘电力电缆及附件第1部分：额定电压1 kV（Um=1.2 kV）和3 kV（Um=3.6 kV）电缆</w:t>
      </w:r>
    </w:p>
    <w:p>
      <w:pPr>
        <w:spacing w:line="440" w:lineRule="exact"/>
        <w:ind w:firstLine="560" w:firstLineChars="200"/>
        <w:rPr>
          <w:rFonts w:ascii="仿宋_GB2312" w:hAnsi="Times New Roman" w:eastAsia="仿宋_GB2312"/>
          <w:color w:val="000000"/>
          <w:sz w:val="28"/>
          <w:szCs w:val="28"/>
        </w:rPr>
      </w:pPr>
      <w:r>
        <w:rPr>
          <w:rFonts w:ascii="仿宋_GB2312" w:hAnsi="Times New Roman" w:eastAsia="仿宋_GB2312"/>
          <w:color w:val="000000"/>
          <w:sz w:val="28"/>
          <w:szCs w:val="28"/>
        </w:rPr>
        <w:t>GB/T 12706.2-2020 额定电压1 kV（Um=1.2 kV）到35 kV（Um=40.5 kV）挤包绝缘电力电缆及附件第2部分：额定电压6kV（Um=7.2 kV）到30 kV（Um=36 kV）电缆</w:t>
      </w:r>
    </w:p>
    <w:p>
      <w:pPr>
        <w:spacing w:line="440" w:lineRule="exact"/>
        <w:ind w:firstLine="560" w:firstLineChars="200"/>
        <w:rPr>
          <w:rFonts w:ascii="仿宋_GB2312" w:hAnsi="Times New Roman" w:eastAsia="仿宋_GB2312"/>
          <w:color w:val="000000"/>
          <w:sz w:val="28"/>
          <w:szCs w:val="28"/>
        </w:rPr>
      </w:pPr>
      <w:r>
        <w:rPr>
          <w:rFonts w:ascii="仿宋_GB2312" w:hAnsi="Times New Roman" w:eastAsia="仿宋_GB2312"/>
          <w:color w:val="000000"/>
          <w:sz w:val="28"/>
          <w:szCs w:val="28"/>
        </w:rPr>
        <w:t>GB/T 12706.3-2020 额定电压1 kV（Um=1.2 kV）到35 kV（Um=40.5 kV）挤包绝缘电力电缆及附件第3部分：额定电压35 kV（Um=40.5 kV）电缆</w:t>
      </w:r>
    </w:p>
    <w:p>
      <w:pPr>
        <w:spacing w:line="440" w:lineRule="exact"/>
        <w:ind w:firstLine="560" w:firstLineChars="200"/>
        <w:rPr>
          <w:rFonts w:ascii="仿宋_GB2312" w:hAnsi="Times New Roman" w:eastAsia="仿宋_GB2312"/>
          <w:color w:val="000000"/>
          <w:sz w:val="28"/>
          <w:szCs w:val="28"/>
        </w:rPr>
      </w:pPr>
      <w:r>
        <w:rPr>
          <w:rFonts w:ascii="仿宋_GB2312" w:hAnsi="Times New Roman" w:eastAsia="仿宋_GB2312"/>
          <w:color w:val="000000"/>
          <w:sz w:val="28"/>
          <w:szCs w:val="28"/>
        </w:rPr>
        <w:t>GB/T 12527-2008 额定电压1kV及以下架空绝缘电缆</w:t>
      </w:r>
    </w:p>
    <w:p>
      <w:pPr>
        <w:tabs>
          <w:tab w:val="left" w:pos="5470"/>
        </w:tabs>
        <w:spacing w:line="440" w:lineRule="exact"/>
        <w:ind w:firstLine="560" w:firstLineChars="200"/>
        <w:rPr>
          <w:rFonts w:ascii="仿宋_GB2312" w:hAnsi="Times New Roman" w:eastAsia="仿宋_GB2312"/>
          <w:color w:val="000000"/>
          <w:sz w:val="28"/>
          <w:szCs w:val="28"/>
        </w:rPr>
      </w:pPr>
      <w:r>
        <w:rPr>
          <w:rFonts w:ascii="仿宋_GB2312" w:hAnsi="Times New Roman" w:eastAsia="仿宋_GB2312"/>
          <w:color w:val="000000"/>
          <w:sz w:val="28"/>
          <w:szCs w:val="28"/>
        </w:rPr>
        <w:t>GB/T 14049-2008 额定电压10kV架空绝缘电缆</w:t>
      </w:r>
      <w:r>
        <w:rPr>
          <w:rFonts w:ascii="仿宋_GB2312" w:hAnsi="Times New Roman" w:eastAsia="仿宋_GB2312"/>
          <w:color w:val="000000"/>
          <w:sz w:val="28"/>
          <w:szCs w:val="28"/>
        </w:rPr>
        <w:tab/>
      </w:r>
    </w:p>
    <w:p>
      <w:pPr>
        <w:spacing w:line="520" w:lineRule="exact"/>
        <w:ind w:firstLine="560" w:firstLineChars="200"/>
        <w:rPr>
          <w:rFonts w:ascii="仿宋_GB2312" w:hAnsi="Times New Roman" w:eastAsia="仿宋_GB2312"/>
          <w:sz w:val="28"/>
          <w:szCs w:val="28"/>
        </w:rPr>
      </w:pPr>
      <w:r>
        <w:rPr>
          <w:rFonts w:ascii="仿宋_GB2312" w:hAnsi="Times New Roman" w:eastAsia="仿宋_GB2312"/>
          <w:color w:val="000000"/>
          <w:sz w:val="28"/>
          <w:szCs w:val="28"/>
        </w:rPr>
        <w:t>GB/T 19666-2019 阻燃和耐火电线电缆或光缆通则</w:t>
      </w:r>
    </w:p>
    <w:p>
      <w:pPr>
        <w:snapToGrid w:val="0"/>
        <w:spacing w:line="520" w:lineRule="exact"/>
        <w:ind w:firstLine="560" w:firstLineChars="200"/>
        <w:rPr>
          <w:rFonts w:ascii="仿宋_GB2312" w:hAnsi="Times New Roman" w:eastAsia="仿宋_GB2312"/>
          <w:color w:val="000000"/>
          <w:sz w:val="28"/>
          <w:szCs w:val="28"/>
        </w:rPr>
      </w:pPr>
      <w:r>
        <w:rPr>
          <w:rFonts w:hint="eastAsia" w:ascii="仿宋_GB2312" w:hAnsi="Times New Roman" w:eastAsia="仿宋_GB2312"/>
          <w:color w:val="000000"/>
          <w:sz w:val="28"/>
          <w:szCs w:val="28"/>
        </w:rPr>
        <w:t>现行有效的企业标准、团体标准、地方标准及产品明示质量要求</w:t>
      </w:r>
    </w:p>
    <w:p>
      <w:pPr>
        <w:snapToGrid w:val="0"/>
        <w:spacing w:line="520" w:lineRule="exact"/>
        <w:rPr>
          <w:rFonts w:ascii="仿宋_GB2312" w:hAnsi="仿宋" w:eastAsia="仿宋_GB2312" w:cs="仿宋"/>
          <w:color w:val="000000"/>
          <w:sz w:val="28"/>
          <w:szCs w:val="28"/>
        </w:rPr>
      </w:pPr>
      <w:r>
        <w:rPr>
          <w:rFonts w:hint="eastAsia" w:ascii="仿宋_GB2312" w:hAnsi="仿宋" w:eastAsia="仿宋_GB2312" w:cs="仿宋"/>
          <w:color w:val="000000"/>
          <w:sz w:val="28"/>
          <w:szCs w:val="28"/>
        </w:rPr>
        <w:t>3.2判定原则</w:t>
      </w:r>
    </w:p>
    <w:p>
      <w:pPr>
        <w:snapToGrid w:val="0"/>
        <w:spacing w:line="520" w:lineRule="exact"/>
        <w:ind w:firstLine="560" w:firstLineChars="200"/>
        <w:rPr>
          <w:rFonts w:ascii="仿宋_GB2312" w:hAnsi="仿宋" w:eastAsia="仿宋_GB2312" w:cs="仿宋"/>
          <w:color w:val="000000"/>
          <w:sz w:val="28"/>
          <w:szCs w:val="28"/>
        </w:rPr>
      </w:pPr>
      <w:r>
        <w:rPr>
          <w:rFonts w:hint="eastAsia" w:ascii="仿宋_GB2312" w:hAnsi="仿宋" w:eastAsia="仿宋_GB2312" w:cs="仿宋"/>
          <w:color w:val="000000"/>
          <w:sz w:val="28"/>
          <w:szCs w:val="28"/>
        </w:rPr>
        <w:t>经检验，检验项目全部合格，判定为被抽查产品所检项目未发现不合格；检验项目中任一项或一项以上不合格，判定为被抽查产品不合格。</w:t>
      </w:r>
    </w:p>
    <w:p>
      <w:pPr>
        <w:snapToGrid w:val="0"/>
        <w:spacing w:line="520" w:lineRule="exact"/>
        <w:ind w:firstLine="557" w:firstLineChars="199"/>
        <w:rPr>
          <w:rFonts w:ascii="仿宋_GB2312" w:hAnsi="仿宋" w:eastAsia="仿宋_GB2312" w:cs="仿宋"/>
          <w:color w:val="000000"/>
          <w:sz w:val="28"/>
          <w:szCs w:val="28"/>
        </w:rPr>
      </w:pPr>
      <w:r>
        <w:rPr>
          <w:rFonts w:hint="eastAsia" w:ascii="仿宋_GB2312" w:hAnsi="仿宋" w:eastAsia="仿宋_GB2312" w:cs="仿宋"/>
          <w:color w:val="000000"/>
          <w:sz w:val="28"/>
          <w:szCs w:val="28"/>
        </w:rPr>
        <w:t>若被检产品明示的质量要求高于本细则中检验项目依据的标准要求时，应按被检产品明示的质量要求判定。</w:t>
      </w:r>
    </w:p>
    <w:p>
      <w:pPr>
        <w:snapToGrid w:val="0"/>
        <w:spacing w:line="520" w:lineRule="exact"/>
        <w:ind w:firstLine="557" w:firstLineChars="199"/>
        <w:rPr>
          <w:rFonts w:ascii="仿宋_GB2312" w:hAnsi="仿宋" w:eastAsia="仿宋_GB2312" w:cs="仿宋"/>
          <w:color w:val="000000"/>
          <w:sz w:val="28"/>
          <w:szCs w:val="28"/>
        </w:rPr>
      </w:pPr>
      <w:r>
        <w:rPr>
          <w:rFonts w:hint="eastAsia" w:ascii="仿宋_GB2312" w:hAnsi="仿宋" w:eastAsia="仿宋_GB2312" w:cs="仿宋"/>
          <w:color w:val="000000"/>
          <w:sz w:val="28"/>
          <w:szCs w:val="28"/>
        </w:rPr>
        <w:t>若被检产品明示的质量要求低于本细则中检验项目依据的标准要求时，应按照强制性标准要求判定。</w:t>
      </w:r>
    </w:p>
    <w:p>
      <w:pPr>
        <w:snapToGrid w:val="0"/>
        <w:spacing w:line="520" w:lineRule="exact"/>
        <w:ind w:firstLine="557" w:firstLineChars="199"/>
        <w:rPr>
          <w:rFonts w:ascii="仿宋_GB2312" w:hAnsi="仿宋" w:eastAsia="仿宋_GB2312" w:cs="仿宋"/>
          <w:color w:val="000000"/>
          <w:sz w:val="28"/>
          <w:szCs w:val="28"/>
        </w:rPr>
      </w:pPr>
      <w:r>
        <w:rPr>
          <w:rFonts w:hint="eastAsia" w:ascii="仿宋_GB2312" w:hAnsi="仿宋" w:eastAsia="仿宋_GB2312" w:cs="仿宋"/>
          <w:color w:val="000000"/>
          <w:sz w:val="28"/>
          <w:szCs w:val="28"/>
        </w:rPr>
        <w:t>若被检产品明示的质量要求低于或包含本细则中检验项目依据的推荐性标准要求时，应以被检产品明示的质量要求判定。</w:t>
      </w:r>
    </w:p>
    <w:p>
      <w:pPr>
        <w:snapToGrid w:val="0"/>
        <w:spacing w:line="520" w:lineRule="exact"/>
        <w:ind w:firstLine="557" w:firstLineChars="199"/>
        <w:rPr>
          <w:rFonts w:ascii="仿宋_GB2312" w:hAnsi="仿宋" w:eastAsia="仿宋_GB2312" w:cs="仿宋"/>
          <w:color w:val="000000"/>
          <w:sz w:val="28"/>
          <w:szCs w:val="28"/>
        </w:rPr>
      </w:pPr>
      <w:r>
        <w:rPr>
          <w:rFonts w:hint="eastAsia" w:ascii="仿宋_GB2312" w:hAnsi="仿宋" w:eastAsia="仿宋_GB2312" w:cs="仿宋"/>
          <w:color w:val="000000"/>
          <w:sz w:val="28"/>
          <w:szCs w:val="28"/>
        </w:rPr>
        <w:t>若被检产品明示的质量要求缺少本细则中检验项目依据的强制性标准要求时，应按照强制性标准要求判定。</w:t>
      </w:r>
    </w:p>
    <w:p>
      <w:pPr>
        <w:snapToGrid w:val="0"/>
        <w:spacing w:line="520" w:lineRule="exact"/>
        <w:ind w:firstLine="557" w:firstLineChars="199"/>
        <w:rPr>
          <w:rFonts w:ascii="仿宋_GB2312" w:hAnsi="仿宋" w:eastAsia="仿宋_GB2312" w:cs="仿宋"/>
          <w:color w:val="000000"/>
          <w:sz w:val="28"/>
          <w:szCs w:val="28"/>
        </w:rPr>
      </w:pPr>
      <w:r>
        <w:rPr>
          <w:rFonts w:hint="eastAsia" w:ascii="仿宋_GB2312" w:hAnsi="仿宋" w:eastAsia="仿宋_GB2312" w:cs="仿宋"/>
          <w:color w:val="000000"/>
          <w:sz w:val="28"/>
          <w:szCs w:val="28"/>
        </w:rPr>
        <w:t>若被检产品明示的质量要求缺少本细则中检验项目依据的推荐性标准要求时，该项目不参与判定。</w:t>
      </w:r>
    </w:p>
    <w:p>
      <w:pPr>
        <w:snapToGrid w:val="0"/>
        <w:spacing w:line="520" w:lineRule="exact"/>
        <w:ind w:firstLine="557" w:firstLineChars="199"/>
        <w:rPr>
          <w:rFonts w:ascii="仿宋" w:hAnsi="仿宋" w:eastAsia="仿宋" w:cs="仿宋"/>
          <w:color w:val="000000"/>
          <w:sz w:val="28"/>
          <w:szCs w:val="28"/>
        </w:rPr>
      </w:pPr>
    </w:p>
    <w:p>
      <w:pPr>
        <w:snapToGrid w:val="0"/>
        <w:spacing w:line="440" w:lineRule="exact"/>
        <w:ind w:firstLine="557" w:firstLineChars="199"/>
        <w:rPr>
          <w:rFonts w:ascii="仿宋" w:hAnsi="仿宋" w:eastAsia="仿宋" w:cs="仿宋"/>
          <w:color w:val="000000"/>
          <w:sz w:val="28"/>
          <w:szCs w:val="28"/>
        </w:rPr>
      </w:pPr>
    </w:p>
    <w:sectPr>
      <w:footerReference r:id="rId3" w:type="default"/>
      <w:pgSz w:w="11906" w:h="16838"/>
      <w:pgMar w:top="1985" w:right="1474" w:bottom="1644" w:left="1474"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c4NzFmMTg5MTM2OTY5ZTNlYTM5ZTgyYWY2MzJkNTIifQ=="/>
  </w:docVars>
  <w:rsids>
    <w:rsidRoot w:val="007934F0"/>
    <w:rsid w:val="00000FEA"/>
    <w:rsid w:val="000129DD"/>
    <w:rsid w:val="00013564"/>
    <w:rsid w:val="00013AF4"/>
    <w:rsid w:val="000147A5"/>
    <w:rsid w:val="0001514C"/>
    <w:rsid w:val="0001618D"/>
    <w:rsid w:val="000206B6"/>
    <w:rsid w:val="00021BAD"/>
    <w:rsid w:val="00023E85"/>
    <w:rsid w:val="000274CD"/>
    <w:rsid w:val="0003064A"/>
    <w:rsid w:val="00034678"/>
    <w:rsid w:val="000413B4"/>
    <w:rsid w:val="000415F1"/>
    <w:rsid w:val="0004695C"/>
    <w:rsid w:val="00047C0C"/>
    <w:rsid w:val="00057F84"/>
    <w:rsid w:val="00075A52"/>
    <w:rsid w:val="00075CB0"/>
    <w:rsid w:val="0007745D"/>
    <w:rsid w:val="00080A67"/>
    <w:rsid w:val="00084929"/>
    <w:rsid w:val="0009291B"/>
    <w:rsid w:val="0009514D"/>
    <w:rsid w:val="00096389"/>
    <w:rsid w:val="000A1448"/>
    <w:rsid w:val="000A3ACA"/>
    <w:rsid w:val="000A5234"/>
    <w:rsid w:val="000A5D5E"/>
    <w:rsid w:val="000A5F6F"/>
    <w:rsid w:val="000B6634"/>
    <w:rsid w:val="000C6E8F"/>
    <w:rsid w:val="000D7E1B"/>
    <w:rsid w:val="000E454A"/>
    <w:rsid w:val="000E6331"/>
    <w:rsid w:val="000F05D9"/>
    <w:rsid w:val="000F2A75"/>
    <w:rsid w:val="0010068E"/>
    <w:rsid w:val="00101360"/>
    <w:rsid w:val="00101E85"/>
    <w:rsid w:val="001058F9"/>
    <w:rsid w:val="00105A37"/>
    <w:rsid w:val="00110389"/>
    <w:rsid w:val="001111F2"/>
    <w:rsid w:val="00117AF1"/>
    <w:rsid w:val="0012146D"/>
    <w:rsid w:val="00121B24"/>
    <w:rsid w:val="001230BA"/>
    <w:rsid w:val="001237F8"/>
    <w:rsid w:val="001261DC"/>
    <w:rsid w:val="00136FE1"/>
    <w:rsid w:val="00141743"/>
    <w:rsid w:val="0014272A"/>
    <w:rsid w:val="00147514"/>
    <w:rsid w:val="00157A1F"/>
    <w:rsid w:val="001616BA"/>
    <w:rsid w:val="00165B43"/>
    <w:rsid w:val="00165C7D"/>
    <w:rsid w:val="001739FF"/>
    <w:rsid w:val="00173E23"/>
    <w:rsid w:val="0017405B"/>
    <w:rsid w:val="001767B9"/>
    <w:rsid w:val="00182FB0"/>
    <w:rsid w:val="001853F1"/>
    <w:rsid w:val="00191B21"/>
    <w:rsid w:val="001945DC"/>
    <w:rsid w:val="001A64DA"/>
    <w:rsid w:val="001A6E06"/>
    <w:rsid w:val="001B2C9F"/>
    <w:rsid w:val="001B2E60"/>
    <w:rsid w:val="001C1DAE"/>
    <w:rsid w:val="001C24E3"/>
    <w:rsid w:val="001C3D28"/>
    <w:rsid w:val="001C4ABA"/>
    <w:rsid w:val="001C5CBA"/>
    <w:rsid w:val="001C760D"/>
    <w:rsid w:val="001D0265"/>
    <w:rsid w:val="001D2FC0"/>
    <w:rsid w:val="001D40F7"/>
    <w:rsid w:val="001D5854"/>
    <w:rsid w:val="001D7E82"/>
    <w:rsid w:val="001E3590"/>
    <w:rsid w:val="001F4385"/>
    <w:rsid w:val="00200CCA"/>
    <w:rsid w:val="002033BF"/>
    <w:rsid w:val="00203B30"/>
    <w:rsid w:val="0020785C"/>
    <w:rsid w:val="002173E1"/>
    <w:rsid w:val="00220A0F"/>
    <w:rsid w:val="00220A13"/>
    <w:rsid w:val="00224349"/>
    <w:rsid w:val="0022580B"/>
    <w:rsid w:val="002320FD"/>
    <w:rsid w:val="002331B0"/>
    <w:rsid w:val="00234AFF"/>
    <w:rsid w:val="002428A7"/>
    <w:rsid w:val="002528D6"/>
    <w:rsid w:val="0025340D"/>
    <w:rsid w:val="00254B0B"/>
    <w:rsid w:val="00256649"/>
    <w:rsid w:val="002659AD"/>
    <w:rsid w:val="0027402C"/>
    <w:rsid w:val="0028105C"/>
    <w:rsid w:val="00283275"/>
    <w:rsid w:val="00284684"/>
    <w:rsid w:val="00284EBF"/>
    <w:rsid w:val="002872B8"/>
    <w:rsid w:val="00290C52"/>
    <w:rsid w:val="0029682D"/>
    <w:rsid w:val="002A02F4"/>
    <w:rsid w:val="002A08B0"/>
    <w:rsid w:val="002A0ED5"/>
    <w:rsid w:val="002A40DB"/>
    <w:rsid w:val="002C077A"/>
    <w:rsid w:val="002C07B3"/>
    <w:rsid w:val="002D7605"/>
    <w:rsid w:val="002E245E"/>
    <w:rsid w:val="002E546B"/>
    <w:rsid w:val="002F13A1"/>
    <w:rsid w:val="002F4EA7"/>
    <w:rsid w:val="002F51E8"/>
    <w:rsid w:val="002F54DD"/>
    <w:rsid w:val="002F5A51"/>
    <w:rsid w:val="002F5F82"/>
    <w:rsid w:val="00303A46"/>
    <w:rsid w:val="003054C7"/>
    <w:rsid w:val="0030742C"/>
    <w:rsid w:val="0031216B"/>
    <w:rsid w:val="003128D6"/>
    <w:rsid w:val="00313DD8"/>
    <w:rsid w:val="0032454A"/>
    <w:rsid w:val="00326874"/>
    <w:rsid w:val="00333E7E"/>
    <w:rsid w:val="003360DD"/>
    <w:rsid w:val="003363A8"/>
    <w:rsid w:val="00336F3D"/>
    <w:rsid w:val="00341A9E"/>
    <w:rsid w:val="0034283F"/>
    <w:rsid w:val="00345235"/>
    <w:rsid w:val="00346D8D"/>
    <w:rsid w:val="00356AF2"/>
    <w:rsid w:val="0036130E"/>
    <w:rsid w:val="003715BE"/>
    <w:rsid w:val="0037254D"/>
    <w:rsid w:val="003733F6"/>
    <w:rsid w:val="00381977"/>
    <w:rsid w:val="0039299E"/>
    <w:rsid w:val="00393DBE"/>
    <w:rsid w:val="00394143"/>
    <w:rsid w:val="003A192B"/>
    <w:rsid w:val="003A253E"/>
    <w:rsid w:val="003A2C5C"/>
    <w:rsid w:val="003A336C"/>
    <w:rsid w:val="003A558D"/>
    <w:rsid w:val="003B2614"/>
    <w:rsid w:val="003B442C"/>
    <w:rsid w:val="003C35E0"/>
    <w:rsid w:val="003C37A0"/>
    <w:rsid w:val="003C4822"/>
    <w:rsid w:val="003C5175"/>
    <w:rsid w:val="003D1015"/>
    <w:rsid w:val="003F4054"/>
    <w:rsid w:val="003F479F"/>
    <w:rsid w:val="003F6A6F"/>
    <w:rsid w:val="00403059"/>
    <w:rsid w:val="0041155F"/>
    <w:rsid w:val="00411BDB"/>
    <w:rsid w:val="00412BC0"/>
    <w:rsid w:val="004219F2"/>
    <w:rsid w:val="00425B3B"/>
    <w:rsid w:val="004273D3"/>
    <w:rsid w:val="00432F8E"/>
    <w:rsid w:val="00435565"/>
    <w:rsid w:val="00437509"/>
    <w:rsid w:val="004429F5"/>
    <w:rsid w:val="00443A93"/>
    <w:rsid w:val="00445CF1"/>
    <w:rsid w:val="00451135"/>
    <w:rsid w:val="00451A02"/>
    <w:rsid w:val="00455D31"/>
    <w:rsid w:val="00456CBA"/>
    <w:rsid w:val="00460C29"/>
    <w:rsid w:val="004652CE"/>
    <w:rsid w:val="004847DE"/>
    <w:rsid w:val="00484EF2"/>
    <w:rsid w:val="004909DA"/>
    <w:rsid w:val="004A06C0"/>
    <w:rsid w:val="004A351A"/>
    <w:rsid w:val="004A5303"/>
    <w:rsid w:val="004B0409"/>
    <w:rsid w:val="004C2BD2"/>
    <w:rsid w:val="004C303A"/>
    <w:rsid w:val="004D0AA3"/>
    <w:rsid w:val="004D55F2"/>
    <w:rsid w:val="004E0DF9"/>
    <w:rsid w:val="004E22DB"/>
    <w:rsid w:val="004F071F"/>
    <w:rsid w:val="004F1297"/>
    <w:rsid w:val="004F63AB"/>
    <w:rsid w:val="005008DE"/>
    <w:rsid w:val="0050330E"/>
    <w:rsid w:val="005054DC"/>
    <w:rsid w:val="00506C93"/>
    <w:rsid w:val="00520A05"/>
    <w:rsid w:val="00520ED0"/>
    <w:rsid w:val="0052270A"/>
    <w:rsid w:val="00524F79"/>
    <w:rsid w:val="005261D8"/>
    <w:rsid w:val="00536604"/>
    <w:rsid w:val="0053686E"/>
    <w:rsid w:val="005405BA"/>
    <w:rsid w:val="00547496"/>
    <w:rsid w:val="0055161C"/>
    <w:rsid w:val="00556249"/>
    <w:rsid w:val="00565C77"/>
    <w:rsid w:val="00571592"/>
    <w:rsid w:val="00575B1C"/>
    <w:rsid w:val="00576E69"/>
    <w:rsid w:val="0058288D"/>
    <w:rsid w:val="00587D04"/>
    <w:rsid w:val="00590582"/>
    <w:rsid w:val="0059325B"/>
    <w:rsid w:val="005938BC"/>
    <w:rsid w:val="00595944"/>
    <w:rsid w:val="005A094F"/>
    <w:rsid w:val="005A0E61"/>
    <w:rsid w:val="005A615F"/>
    <w:rsid w:val="005A7176"/>
    <w:rsid w:val="005B5F3C"/>
    <w:rsid w:val="005B6AB1"/>
    <w:rsid w:val="005B7566"/>
    <w:rsid w:val="005C03B4"/>
    <w:rsid w:val="005C1412"/>
    <w:rsid w:val="005C738E"/>
    <w:rsid w:val="005D0ECD"/>
    <w:rsid w:val="005D43CD"/>
    <w:rsid w:val="005D673E"/>
    <w:rsid w:val="005D6BCF"/>
    <w:rsid w:val="005E1FD2"/>
    <w:rsid w:val="005E5373"/>
    <w:rsid w:val="005E67FA"/>
    <w:rsid w:val="005F0A70"/>
    <w:rsid w:val="005F4DB3"/>
    <w:rsid w:val="005F5094"/>
    <w:rsid w:val="006041D9"/>
    <w:rsid w:val="006056B6"/>
    <w:rsid w:val="0060748F"/>
    <w:rsid w:val="00612DF4"/>
    <w:rsid w:val="0061523C"/>
    <w:rsid w:val="00616490"/>
    <w:rsid w:val="006177C4"/>
    <w:rsid w:val="00627ADF"/>
    <w:rsid w:val="00631ECB"/>
    <w:rsid w:val="00633822"/>
    <w:rsid w:val="00635CBB"/>
    <w:rsid w:val="00651DF2"/>
    <w:rsid w:val="006521E6"/>
    <w:rsid w:val="00670264"/>
    <w:rsid w:val="00672ED8"/>
    <w:rsid w:val="00675EC6"/>
    <w:rsid w:val="006766B7"/>
    <w:rsid w:val="006775CD"/>
    <w:rsid w:val="006816F3"/>
    <w:rsid w:val="0068697D"/>
    <w:rsid w:val="00686E00"/>
    <w:rsid w:val="00686F38"/>
    <w:rsid w:val="0069127C"/>
    <w:rsid w:val="00695C23"/>
    <w:rsid w:val="0069688C"/>
    <w:rsid w:val="00697E89"/>
    <w:rsid w:val="006A3F7A"/>
    <w:rsid w:val="006A50D8"/>
    <w:rsid w:val="006A6116"/>
    <w:rsid w:val="006D13BB"/>
    <w:rsid w:val="006D1664"/>
    <w:rsid w:val="006D7B21"/>
    <w:rsid w:val="006E0CD2"/>
    <w:rsid w:val="006E1EA1"/>
    <w:rsid w:val="006E24C5"/>
    <w:rsid w:val="006E3085"/>
    <w:rsid w:val="006E3E8E"/>
    <w:rsid w:val="006E490C"/>
    <w:rsid w:val="006E6327"/>
    <w:rsid w:val="006E6350"/>
    <w:rsid w:val="006E74C0"/>
    <w:rsid w:val="006F4369"/>
    <w:rsid w:val="006F460D"/>
    <w:rsid w:val="00702830"/>
    <w:rsid w:val="00712FDC"/>
    <w:rsid w:val="007203E2"/>
    <w:rsid w:val="007216FB"/>
    <w:rsid w:val="007317FE"/>
    <w:rsid w:val="00733516"/>
    <w:rsid w:val="00746460"/>
    <w:rsid w:val="00747D77"/>
    <w:rsid w:val="00751906"/>
    <w:rsid w:val="007527BC"/>
    <w:rsid w:val="0075562F"/>
    <w:rsid w:val="0076110D"/>
    <w:rsid w:val="00783114"/>
    <w:rsid w:val="007846C2"/>
    <w:rsid w:val="00785355"/>
    <w:rsid w:val="007868EA"/>
    <w:rsid w:val="007929E8"/>
    <w:rsid w:val="007934F0"/>
    <w:rsid w:val="0079528B"/>
    <w:rsid w:val="007954A8"/>
    <w:rsid w:val="00795A9D"/>
    <w:rsid w:val="007A3A50"/>
    <w:rsid w:val="007A5029"/>
    <w:rsid w:val="007A6192"/>
    <w:rsid w:val="007A6F5E"/>
    <w:rsid w:val="007B15DC"/>
    <w:rsid w:val="007B3733"/>
    <w:rsid w:val="007B44EA"/>
    <w:rsid w:val="007D1595"/>
    <w:rsid w:val="007D1F91"/>
    <w:rsid w:val="007D336A"/>
    <w:rsid w:val="007E151E"/>
    <w:rsid w:val="007E5D84"/>
    <w:rsid w:val="007F0D70"/>
    <w:rsid w:val="007F3A2A"/>
    <w:rsid w:val="007F4534"/>
    <w:rsid w:val="007F5530"/>
    <w:rsid w:val="00802874"/>
    <w:rsid w:val="008057B7"/>
    <w:rsid w:val="00806B6C"/>
    <w:rsid w:val="00812002"/>
    <w:rsid w:val="00816BCE"/>
    <w:rsid w:val="00821D3E"/>
    <w:rsid w:val="008257AA"/>
    <w:rsid w:val="008260AC"/>
    <w:rsid w:val="0083517C"/>
    <w:rsid w:val="00840950"/>
    <w:rsid w:val="00840F0A"/>
    <w:rsid w:val="00844DCD"/>
    <w:rsid w:val="00845B07"/>
    <w:rsid w:val="0084661B"/>
    <w:rsid w:val="00846D20"/>
    <w:rsid w:val="00847422"/>
    <w:rsid w:val="00851168"/>
    <w:rsid w:val="008558F9"/>
    <w:rsid w:val="00855D33"/>
    <w:rsid w:val="0087078F"/>
    <w:rsid w:val="0087336B"/>
    <w:rsid w:val="008741E3"/>
    <w:rsid w:val="00874679"/>
    <w:rsid w:val="00874B63"/>
    <w:rsid w:val="00876A23"/>
    <w:rsid w:val="00877CA4"/>
    <w:rsid w:val="0088006C"/>
    <w:rsid w:val="00887C46"/>
    <w:rsid w:val="00894C52"/>
    <w:rsid w:val="00895FC8"/>
    <w:rsid w:val="008A5C63"/>
    <w:rsid w:val="008A7B59"/>
    <w:rsid w:val="008B22F4"/>
    <w:rsid w:val="008B75CA"/>
    <w:rsid w:val="008C24C0"/>
    <w:rsid w:val="008C4110"/>
    <w:rsid w:val="008D2946"/>
    <w:rsid w:val="008D2D24"/>
    <w:rsid w:val="008D487A"/>
    <w:rsid w:val="008D54F8"/>
    <w:rsid w:val="008E783D"/>
    <w:rsid w:val="008E78B7"/>
    <w:rsid w:val="00900D9B"/>
    <w:rsid w:val="009026CF"/>
    <w:rsid w:val="009037F0"/>
    <w:rsid w:val="00903868"/>
    <w:rsid w:val="009053FD"/>
    <w:rsid w:val="00907047"/>
    <w:rsid w:val="009116B9"/>
    <w:rsid w:val="009134D8"/>
    <w:rsid w:val="0091377A"/>
    <w:rsid w:val="009150C2"/>
    <w:rsid w:val="00917194"/>
    <w:rsid w:val="00923D16"/>
    <w:rsid w:val="0092579E"/>
    <w:rsid w:val="00927F05"/>
    <w:rsid w:val="00930AC3"/>
    <w:rsid w:val="0093588C"/>
    <w:rsid w:val="00943429"/>
    <w:rsid w:val="00946235"/>
    <w:rsid w:val="00952652"/>
    <w:rsid w:val="00953F5C"/>
    <w:rsid w:val="0096114C"/>
    <w:rsid w:val="00962A48"/>
    <w:rsid w:val="0096388A"/>
    <w:rsid w:val="00964176"/>
    <w:rsid w:val="0096675A"/>
    <w:rsid w:val="00970235"/>
    <w:rsid w:val="00971131"/>
    <w:rsid w:val="00973901"/>
    <w:rsid w:val="00975F0C"/>
    <w:rsid w:val="00977831"/>
    <w:rsid w:val="009802D1"/>
    <w:rsid w:val="009818FC"/>
    <w:rsid w:val="00994117"/>
    <w:rsid w:val="00994437"/>
    <w:rsid w:val="00996F20"/>
    <w:rsid w:val="00997507"/>
    <w:rsid w:val="009A0561"/>
    <w:rsid w:val="009B4E5B"/>
    <w:rsid w:val="009B5EAE"/>
    <w:rsid w:val="009C25B2"/>
    <w:rsid w:val="009C56C6"/>
    <w:rsid w:val="009D2289"/>
    <w:rsid w:val="009D23BB"/>
    <w:rsid w:val="009E1E6A"/>
    <w:rsid w:val="009E4EDE"/>
    <w:rsid w:val="009E564B"/>
    <w:rsid w:val="009E7A3A"/>
    <w:rsid w:val="009F2014"/>
    <w:rsid w:val="009F4267"/>
    <w:rsid w:val="009F4660"/>
    <w:rsid w:val="009F524D"/>
    <w:rsid w:val="00A004B1"/>
    <w:rsid w:val="00A014A1"/>
    <w:rsid w:val="00A014A4"/>
    <w:rsid w:val="00A04AB9"/>
    <w:rsid w:val="00A0744E"/>
    <w:rsid w:val="00A123BC"/>
    <w:rsid w:val="00A15157"/>
    <w:rsid w:val="00A15208"/>
    <w:rsid w:val="00A17654"/>
    <w:rsid w:val="00A22280"/>
    <w:rsid w:val="00A30985"/>
    <w:rsid w:val="00A33A84"/>
    <w:rsid w:val="00A37EC1"/>
    <w:rsid w:val="00A45F06"/>
    <w:rsid w:val="00A51088"/>
    <w:rsid w:val="00A52743"/>
    <w:rsid w:val="00A54230"/>
    <w:rsid w:val="00A60164"/>
    <w:rsid w:val="00A61128"/>
    <w:rsid w:val="00A613F7"/>
    <w:rsid w:val="00A62701"/>
    <w:rsid w:val="00A7193C"/>
    <w:rsid w:val="00A839A2"/>
    <w:rsid w:val="00A84AF2"/>
    <w:rsid w:val="00A86425"/>
    <w:rsid w:val="00A93A4F"/>
    <w:rsid w:val="00A943BA"/>
    <w:rsid w:val="00A95E02"/>
    <w:rsid w:val="00A95F91"/>
    <w:rsid w:val="00AA0C65"/>
    <w:rsid w:val="00AA4D9A"/>
    <w:rsid w:val="00AA6C2C"/>
    <w:rsid w:val="00AB0D7A"/>
    <w:rsid w:val="00AB6857"/>
    <w:rsid w:val="00AC3B8A"/>
    <w:rsid w:val="00AC46B9"/>
    <w:rsid w:val="00AD023A"/>
    <w:rsid w:val="00AD5493"/>
    <w:rsid w:val="00AD794D"/>
    <w:rsid w:val="00AE03A0"/>
    <w:rsid w:val="00AE2035"/>
    <w:rsid w:val="00AF6082"/>
    <w:rsid w:val="00B01A50"/>
    <w:rsid w:val="00B029F5"/>
    <w:rsid w:val="00B03A31"/>
    <w:rsid w:val="00B062F2"/>
    <w:rsid w:val="00B149E9"/>
    <w:rsid w:val="00B1761F"/>
    <w:rsid w:val="00B259FB"/>
    <w:rsid w:val="00B25FF2"/>
    <w:rsid w:val="00B33A06"/>
    <w:rsid w:val="00B40495"/>
    <w:rsid w:val="00B4085A"/>
    <w:rsid w:val="00B40C8A"/>
    <w:rsid w:val="00B725A9"/>
    <w:rsid w:val="00B732A2"/>
    <w:rsid w:val="00B801EC"/>
    <w:rsid w:val="00B81C42"/>
    <w:rsid w:val="00B82F97"/>
    <w:rsid w:val="00B8413B"/>
    <w:rsid w:val="00B852EE"/>
    <w:rsid w:val="00B86ED4"/>
    <w:rsid w:val="00B86F81"/>
    <w:rsid w:val="00B87167"/>
    <w:rsid w:val="00B9396B"/>
    <w:rsid w:val="00BA11FE"/>
    <w:rsid w:val="00BA590D"/>
    <w:rsid w:val="00BA5E5D"/>
    <w:rsid w:val="00BA6403"/>
    <w:rsid w:val="00BA6CAC"/>
    <w:rsid w:val="00BB0911"/>
    <w:rsid w:val="00BB3809"/>
    <w:rsid w:val="00BB4DBF"/>
    <w:rsid w:val="00BB5C65"/>
    <w:rsid w:val="00BB5FC9"/>
    <w:rsid w:val="00BB7035"/>
    <w:rsid w:val="00BC36C2"/>
    <w:rsid w:val="00BC5842"/>
    <w:rsid w:val="00BD0038"/>
    <w:rsid w:val="00BD5890"/>
    <w:rsid w:val="00BE07D4"/>
    <w:rsid w:val="00BE38E8"/>
    <w:rsid w:val="00BF6D85"/>
    <w:rsid w:val="00BF7A87"/>
    <w:rsid w:val="00C11237"/>
    <w:rsid w:val="00C12DC2"/>
    <w:rsid w:val="00C15098"/>
    <w:rsid w:val="00C267AC"/>
    <w:rsid w:val="00C311DC"/>
    <w:rsid w:val="00C31CD3"/>
    <w:rsid w:val="00C4128B"/>
    <w:rsid w:val="00C437E7"/>
    <w:rsid w:val="00C47420"/>
    <w:rsid w:val="00C47DB6"/>
    <w:rsid w:val="00C574FA"/>
    <w:rsid w:val="00C73E91"/>
    <w:rsid w:val="00C74DC8"/>
    <w:rsid w:val="00C76ADD"/>
    <w:rsid w:val="00C7706B"/>
    <w:rsid w:val="00C82519"/>
    <w:rsid w:val="00C85CC3"/>
    <w:rsid w:val="00C872A1"/>
    <w:rsid w:val="00C91FEA"/>
    <w:rsid w:val="00C94CEC"/>
    <w:rsid w:val="00C957B9"/>
    <w:rsid w:val="00C969D2"/>
    <w:rsid w:val="00CA3993"/>
    <w:rsid w:val="00CA4801"/>
    <w:rsid w:val="00CA60B8"/>
    <w:rsid w:val="00CA62FB"/>
    <w:rsid w:val="00CB03B8"/>
    <w:rsid w:val="00CB0B25"/>
    <w:rsid w:val="00CB34E7"/>
    <w:rsid w:val="00CB51A9"/>
    <w:rsid w:val="00CC3AA0"/>
    <w:rsid w:val="00CC4714"/>
    <w:rsid w:val="00CD4171"/>
    <w:rsid w:val="00CE3954"/>
    <w:rsid w:val="00CF4357"/>
    <w:rsid w:val="00CF6208"/>
    <w:rsid w:val="00D049EF"/>
    <w:rsid w:val="00D06FB6"/>
    <w:rsid w:val="00D14ED4"/>
    <w:rsid w:val="00D17421"/>
    <w:rsid w:val="00D21575"/>
    <w:rsid w:val="00D22BAD"/>
    <w:rsid w:val="00D240AC"/>
    <w:rsid w:val="00D3074A"/>
    <w:rsid w:val="00D30859"/>
    <w:rsid w:val="00D33897"/>
    <w:rsid w:val="00D342B6"/>
    <w:rsid w:val="00D34CE5"/>
    <w:rsid w:val="00D42F37"/>
    <w:rsid w:val="00D5376E"/>
    <w:rsid w:val="00D53ECA"/>
    <w:rsid w:val="00D620F8"/>
    <w:rsid w:val="00D62545"/>
    <w:rsid w:val="00D6457F"/>
    <w:rsid w:val="00D6766D"/>
    <w:rsid w:val="00D77261"/>
    <w:rsid w:val="00D7752D"/>
    <w:rsid w:val="00D80075"/>
    <w:rsid w:val="00D80747"/>
    <w:rsid w:val="00D8391D"/>
    <w:rsid w:val="00D85EEF"/>
    <w:rsid w:val="00D92EFE"/>
    <w:rsid w:val="00D955A3"/>
    <w:rsid w:val="00D9735B"/>
    <w:rsid w:val="00D97837"/>
    <w:rsid w:val="00DA19A1"/>
    <w:rsid w:val="00DA5111"/>
    <w:rsid w:val="00DB11BC"/>
    <w:rsid w:val="00DB257C"/>
    <w:rsid w:val="00DB6D32"/>
    <w:rsid w:val="00DC4E10"/>
    <w:rsid w:val="00DC62C2"/>
    <w:rsid w:val="00DD0EA6"/>
    <w:rsid w:val="00DD56B3"/>
    <w:rsid w:val="00DE34E8"/>
    <w:rsid w:val="00DF2CE4"/>
    <w:rsid w:val="00E0180D"/>
    <w:rsid w:val="00E01A92"/>
    <w:rsid w:val="00E07FE3"/>
    <w:rsid w:val="00E10E21"/>
    <w:rsid w:val="00E12BBD"/>
    <w:rsid w:val="00E16AC1"/>
    <w:rsid w:val="00E2091B"/>
    <w:rsid w:val="00E2098E"/>
    <w:rsid w:val="00E24454"/>
    <w:rsid w:val="00E24499"/>
    <w:rsid w:val="00E2508F"/>
    <w:rsid w:val="00E25745"/>
    <w:rsid w:val="00E276E4"/>
    <w:rsid w:val="00E32937"/>
    <w:rsid w:val="00E37118"/>
    <w:rsid w:val="00E3726C"/>
    <w:rsid w:val="00E519CF"/>
    <w:rsid w:val="00E53613"/>
    <w:rsid w:val="00E6268B"/>
    <w:rsid w:val="00E66499"/>
    <w:rsid w:val="00E66B03"/>
    <w:rsid w:val="00E67072"/>
    <w:rsid w:val="00E67C0C"/>
    <w:rsid w:val="00E76F73"/>
    <w:rsid w:val="00E821AD"/>
    <w:rsid w:val="00E82EE5"/>
    <w:rsid w:val="00E85C51"/>
    <w:rsid w:val="00E8648B"/>
    <w:rsid w:val="00E8684C"/>
    <w:rsid w:val="00E921C8"/>
    <w:rsid w:val="00E95D69"/>
    <w:rsid w:val="00E96140"/>
    <w:rsid w:val="00E97D20"/>
    <w:rsid w:val="00EA18ED"/>
    <w:rsid w:val="00EA520B"/>
    <w:rsid w:val="00EA79C3"/>
    <w:rsid w:val="00EC0D97"/>
    <w:rsid w:val="00EC29FB"/>
    <w:rsid w:val="00EC5909"/>
    <w:rsid w:val="00EC7FB4"/>
    <w:rsid w:val="00ED3E83"/>
    <w:rsid w:val="00EE014F"/>
    <w:rsid w:val="00EE078E"/>
    <w:rsid w:val="00EE2578"/>
    <w:rsid w:val="00EE54E7"/>
    <w:rsid w:val="00EE7250"/>
    <w:rsid w:val="00EF04D7"/>
    <w:rsid w:val="00EF1A5B"/>
    <w:rsid w:val="00EF2744"/>
    <w:rsid w:val="00EF5A78"/>
    <w:rsid w:val="00F00A9D"/>
    <w:rsid w:val="00F038F4"/>
    <w:rsid w:val="00F04247"/>
    <w:rsid w:val="00F0584E"/>
    <w:rsid w:val="00F067F7"/>
    <w:rsid w:val="00F07F52"/>
    <w:rsid w:val="00F17C58"/>
    <w:rsid w:val="00F21B0A"/>
    <w:rsid w:val="00F21D52"/>
    <w:rsid w:val="00F24221"/>
    <w:rsid w:val="00F24FF3"/>
    <w:rsid w:val="00F25A9E"/>
    <w:rsid w:val="00F25DF8"/>
    <w:rsid w:val="00F31C7F"/>
    <w:rsid w:val="00F34F1E"/>
    <w:rsid w:val="00F44BD3"/>
    <w:rsid w:val="00F51C7E"/>
    <w:rsid w:val="00F5299C"/>
    <w:rsid w:val="00F71031"/>
    <w:rsid w:val="00F77C33"/>
    <w:rsid w:val="00F82263"/>
    <w:rsid w:val="00F85075"/>
    <w:rsid w:val="00FA530F"/>
    <w:rsid w:val="00FA77E8"/>
    <w:rsid w:val="00FB07B5"/>
    <w:rsid w:val="00FB1D15"/>
    <w:rsid w:val="00FB3128"/>
    <w:rsid w:val="00FB3E3B"/>
    <w:rsid w:val="00FB5E85"/>
    <w:rsid w:val="00FB6EDB"/>
    <w:rsid w:val="00FC61F4"/>
    <w:rsid w:val="00FC69B9"/>
    <w:rsid w:val="00FC768A"/>
    <w:rsid w:val="00FD061F"/>
    <w:rsid w:val="00FD1FCA"/>
    <w:rsid w:val="00FD2754"/>
    <w:rsid w:val="00FD575E"/>
    <w:rsid w:val="00FD606D"/>
    <w:rsid w:val="00FE5015"/>
    <w:rsid w:val="00FE55EB"/>
    <w:rsid w:val="00FE67EF"/>
    <w:rsid w:val="00FF6F2D"/>
    <w:rsid w:val="01100D30"/>
    <w:rsid w:val="1CD14A44"/>
    <w:rsid w:val="1FE34C87"/>
    <w:rsid w:val="21205766"/>
    <w:rsid w:val="213E3E81"/>
    <w:rsid w:val="22A2588D"/>
    <w:rsid w:val="22E37BD6"/>
    <w:rsid w:val="249C5B67"/>
    <w:rsid w:val="2E752BC5"/>
    <w:rsid w:val="31AC5E88"/>
    <w:rsid w:val="336A1A8A"/>
    <w:rsid w:val="39D22D7B"/>
    <w:rsid w:val="3BCA67CE"/>
    <w:rsid w:val="3EC003CC"/>
    <w:rsid w:val="3F3E1455"/>
    <w:rsid w:val="42C23798"/>
    <w:rsid w:val="46B86E80"/>
    <w:rsid w:val="4A972F66"/>
    <w:rsid w:val="5155488D"/>
    <w:rsid w:val="53C8687D"/>
    <w:rsid w:val="5A180882"/>
    <w:rsid w:val="5E6B5478"/>
    <w:rsid w:val="67D56FD0"/>
    <w:rsid w:val="6BFC2F09"/>
    <w:rsid w:val="6CBF3F5C"/>
    <w:rsid w:val="6FAE139A"/>
    <w:rsid w:val="6FF364AA"/>
    <w:rsid w:val="704E1A46"/>
    <w:rsid w:val="708E4D5C"/>
    <w:rsid w:val="71370CE6"/>
    <w:rsid w:val="74532B7C"/>
    <w:rsid w:val="761940A2"/>
    <w:rsid w:val="7916648B"/>
    <w:rsid w:val="797C132A"/>
    <w:rsid w:val="7D6654CF"/>
    <w:rsid w:val="7DD163C0"/>
    <w:rsid w:val="7FF06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unhideWhenUsed/>
    <w:qFormat/>
    <w:uiPriority w:val="99"/>
    <w:pPr>
      <w:jc w:val="left"/>
    </w:pPr>
    <w:rPr>
      <w:sz w:val="22"/>
    </w:rPr>
  </w:style>
  <w:style w:type="paragraph" w:styleId="3">
    <w:name w:val="Balloon Text"/>
    <w:basedOn w:val="1"/>
    <w:link w:val="11"/>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unhideWhenUsed/>
    <w:qFormat/>
    <w:uiPriority w:val="99"/>
    <w:rPr>
      <w:rFonts w:ascii="Times New Roman" w:hAnsi="Times New Roman"/>
      <w:b/>
      <w:bCs/>
      <w:kern w:val="0"/>
      <w:sz w:val="20"/>
      <w:szCs w:val="20"/>
    </w:rPr>
  </w:style>
  <w:style w:type="character" w:styleId="9">
    <w:name w:val="annotation reference"/>
    <w:unhideWhenUsed/>
    <w:qFormat/>
    <w:uiPriority w:val="99"/>
    <w:rPr>
      <w:rFonts w:cs="Times New Roman"/>
      <w:sz w:val="21"/>
      <w:szCs w:val="21"/>
    </w:rPr>
  </w:style>
  <w:style w:type="character" w:customStyle="1" w:styleId="10">
    <w:name w:val="批注文字 Char"/>
    <w:link w:val="2"/>
    <w:semiHidden/>
    <w:qFormat/>
    <w:locked/>
    <w:uiPriority w:val="99"/>
    <w:rPr>
      <w:rFonts w:ascii="Calibri" w:hAnsi="Calibri" w:cs="Times New Roman"/>
      <w:kern w:val="2"/>
      <w:sz w:val="22"/>
      <w:szCs w:val="22"/>
    </w:rPr>
  </w:style>
  <w:style w:type="character" w:customStyle="1" w:styleId="11">
    <w:name w:val="批注框文本 Char"/>
    <w:link w:val="3"/>
    <w:qFormat/>
    <w:locked/>
    <w:uiPriority w:val="99"/>
    <w:rPr>
      <w:rFonts w:ascii="Calibri" w:hAnsi="Calibri" w:cs="Times New Roman"/>
      <w:kern w:val="2"/>
      <w:sz w:val="18"/>
      <w:szCs w:val="18"/>
    </w:rPr>
  </w:style>
  <w:style w:type="character" w:customStyle="1" w:styleId="12">
    <w:name w:val="页脚 Char"/>
    <w:link w:val="4"/>
    <w:qFormat/>
    <w:locked/>
    <w:uiPriority w:val="99"/>
    <w:rPr>
      <w:rFonts w:ascii="Calibri" w:hAnsi="Calibri" w:cs="Times New Roman"/>
      <w:kern w:val="2"/>
      <w:sz w:val="18"/>
      <w:szCs w:val="18"/>
    </w:rPr>
  </w:style>
  <w:style w:type="character" w:customStyle="1" w:styleId="13">
    <w:name w:val="页眉 Char"/>
    <w:link w:val="5"/>
    <w:qFormat/>
    <w:locked/>
    <w:uiPriority w:val="99"/>
    <w:rPr>
      <w:rFonts w:ascii="Calibri" w:hAnsi="Calibri" w:cs="Times New Roman"/>
      <w:kern w:val="2"/>
      <w:sz w:val="18"/>
      <w:szCs w:val="18"/>
    </w:rPr>
  </w:style>
  <w:style w:type="character" w:customStyle="1" w:styleId="14">
    <w:name w:val="批注主题 Char"/>
    <w:link w:val="6"/>
    <w:semiHidden/>
    <w:qFormat/>
    <w:locked/>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CC4F9-5828-4B43-9D4E-C9FC2600DB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1607</Words>
  <Characters>2426</Characters>
  <Lines>18</Lines>
  <Paragraphs>5</Paragraphs>
  <TotalTime>6</TotalTime>
  <ScaleCrop>false</ScaleCrop>
  <LinksUpToDate>false</LinksUpToDate>
  <CharactersWithSpaces>2510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2022-07-07T02:50:00Z</dcterms:created>
  <dc:creator>user</dc:creator>
  <cp:lastModifiedBy>lenovo</cp:lastModifiedBy>
  <dcterms:modified xsi:type="dcterms:W3CDTF">2022-09-06T06:03:09Z</dcterms:modified>
  <dc:title>2021年电线电缆产品质量家监督抽查实施细则</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67E3181CA67245D188B19BD07F36FDE7</vt:lpwstr>
  </property>
</Properties>
</file>