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长春市2022年建筑用金属面绝热夹芯板产品质量监督抽查实施细则</w:t>
      </w:r>
    </w:p>
    <w:p>
      <w:pPr>
        <w:snapToGrid w:val="0"/>
        <w:spacing w:line="360" w:lineRule="auto"/>
        <w:jc w:val="both"/>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 抽样方法</w:t>
      </w:r>
    </w:p>
    <w:p>
      <w:pPr>
        <w:spacing w:line="300" w:lineRule="auto"/>
        <w:ind w:left="-199" w:leftChars="-95" w:firstLine="260" w:firstLineChars="100"/>
        <w:rPr>
          <w:rFonts w:ascii="仿宋" w:hAnsi="仿宋" w:eastAsia="仿宋" w:cs="Arial"/>
          <w:sz w:val="28"/>
          <w:szCs w:val="28"/>
        </w:rPr>
      </w:pPr>
      <w:r>
        <w:rPr>
          <w:rFonts w:hint="eastAsia" w:ascii="仿宋" w:hAnsi="仿宋" w:eastAsia="仿宋" w:cs="仿宋"/>
          <w:color w:val="000000"/>
          <w:spacing w:val="-10"/>
          <w:sz w:val="28"/>
          <w:szCs w:val="28"/>
        </w:rPr>
        <w:t>1.</w:t>
      </w:r>
      <w:r>
        <w:rPr>
          <w:rFonts w:hint="eastAsia" w:ascii="仿宋" w:hAnsi="仿宋" w:eastAsia="仿宋" w:cs="仿宋"/>
          <w:color w:val="000000"/>
          <w:spacing w:val="-10"/>
          <w:sz w:val="28"/>
          <w:szCs w:val="28"/>
          <w:lang w:val="en-US" w:eastAsia="zh-CN"/>
        </w:rPr>
        <w:t>1</w:t>
      </w:r>
      <w:r>
        <w:rPr>
          <w:rFonts w:hint="eastAsia" w:ascii="仿宋" w:hAnsi="仿宋" w:eastAsia="仿宋" w:cs="仿宋"/>
          <w:color w:val="000000"/>
          <w:spacing w:val="-10"/>
          <w:sz w:val="28"/>
          <w:szCs w:val="28"/>
        </w:rPr>
        <w:t>以扑克牌法的随机抽样方式在被抽样生产者</w:t>
      </w:r>
      <w:r>
        <w:rPr>
          <w:rFonts w:hint="eastAsia" w:ascii="仿宋" w:hAnsi="仿宋" w:eastAsia="仿宋" w:cs="仿宋"/>
          <w:color w:val="000000"/>
          <w:spacing w:val="-10"/>
          <w:sz w:val="28"/>
          <w:szCs w:val="28"/>
          <w:lang w:eastAsia="zh-CN"/>
        </w:rPr>
        <w:t>、销售者</w:t>
      </w:r>
      <w:r>
        <w:rPr>
          <w:rFonts w:hint="eastAsia" w:ascii="仿宋" w:hAnsi="仿宋" w:eastAsia="仿宋" w:cs="仿宋"/>
          <w:color w:val="000000"/>
          <w:spacing w:val="-10"/>
          <w:sz w:val="28"/>
          <w:szCs w:val="28"/>
        </w:rPr>
        <w:t>的待销产品中抽取</w:t>
      </w:r>
      <w:r>
        <w:rPr>
          <w:rFonts w:hint="eastAsia" w:ascii="仿宋" w:hAnsi="仿宋" w:eastAsia="仿宋" w:cs="Arial"/>
          <w:sz w:val="28"/>
          <w:szCs w:val="28"/>
        </w:rPr>
        <w:t>。优先抽取主导产品。</w:t>
      </w:r>
    </w:p>
    <w:p>
      <w:pPr>
        <w:ind w:left="-199" w:leftChars="-95" w:firstLine="260" w:firstLineChars="100"/>
        <w:jc w:val="left"/>
        <w:rPr>
          <w:rFonts w:ascii="仿宋" w:hAnsi="仿宋" w:eastAsia="仿宋" w:cs="Arial"/>
          <w:sz w:val="28"/>
          <w:szCs w:val="28"/>
        </w:rPr>
      </w:pPr>
      <w:r>
        <w:rPr>
          <w:rFonts w:hint="eastAsia" w:ascii="仿宋" w:hAnsi="仿宋" w:eastAsia="仿宋" w:cs="仿宋"/>
          <w:color w:val="000000"/>
          <w:spacing w:val="-10"/>
          <w:sz w:val="28"/>
          <w:szCs w:val="28"/>
        </w:rPr>
        <w:t>1.</w:t>
      </w:r>
      <w:r>
        <w:rPr>
          <w:rFonts w:hint="eastAsia" w:ascii="仿宋" w:hAnsi="仿宋" w:eastAsia="仿宋" w:cs="仿宋"/>
          <w:color w:val="000000"/>
          <w:spacing w:val="-10"/>
          <w:sz w:val="28"/>
          <w:szCs w:val="28"/>
          <w:lang w:val="en-US" w:eastAsia="zh-CN"/>
        </w:rPr>
        <w:t>2</w:t>
      </w:r>
      <w:r>
        <w:rPr>
          <w:rFonts w:hint="eastAsia" w:ascii="仿宋" w:hAnsi="仿宋" w:eastAsia="仿宋" w:cs="仿宋"/>
          <w:color w:val="000000"/>
          <w:spacing w:val="-10"/>
          <w:sz w:val="28"/>
          <w:szCs w:val="28"/>
        </w:rPr>
        <w:t>在被抽样生产者、销售者的待销产品中抽样时，</w:t>
      </w:r>
      <w:r>
        <w:rPr>
          <w:rFonts w:hint="eastAsia" w:ascii="仿宋" w:hAnsi="仿宋" w:eastAsia="仿宋" w:cs="Arial"/>
          <w:sz w:val="28"/>
          <w:szCs w:val="28"/>
        </w:rPr>
        <w:t>每个批次抽取200mm×200mm6块;200mm×原板宽8块;</w:t>
      </w:r>
      <w:r>
        <w:rPr>
          <w:rFonts w:hint="eastAsia" w:ascii="仿宋" w:hAnsi="仿宋" w:eastAsia="仿宋" w:cs="Arial"/>
          <w:sz w:val="28"/>
          <w:szCs w:val="28"/>
          <w:lang w:eastAsia="zh-CN"/>
        </w:rPr>
        <w:t>夹芯板</w:t>
      </w:r>
      <w:r>
        <w:rPr>
          <w:rFonts w:hint="eastAsia" w:ascii="仿宋" w:hAnsi="仿宋" w:eastAsia="仿宋" w:cs="Arial"/>
          <w:sz w:val="28"/>
          <w:szCs w:val="28"/>
        </w:rPr>
        <w:t>16平方米。</w:t>
      </w:r>
    </w:p>
    <w:p>
      <w:pPr>
        <w:ind w:left="-199" w:leftChars="-95" w:firstLine="280" w:firstLineChars="100"/>
        <w:jc w:val="left"/>
        <w:rPr>
          <w:rFonts w:ascii="仿宋" w:hAnsi="仿宋" w:eastAsia="仿宋" w:cs="Arial"/>
          <w:sz w:val="28"/>
          <w:szCs w:val="28"/>
        </w:rPr>
      </w:pPr>
      <w:r>
        <w:rPr>
          <w:rFonts w:hint="eastAsia" w:ascii="仿宋" w:hAnsi="仿宋" w:eastAsia="仿宋" w:cs="Arial"/>
          <w:sz w:val="28"/>
          <w:szCs w:val="28"/>
        </w:rPr>
        <w:t>其中200mm×200mm3块;200mm×原板宽4块;</w:t>
      </w:r>
      <w:r>
        <w:rPr>
          <w:rFonts w:hint="eastAsia" w:ascii="仿宋" w:hAnsi="仿宋" w:eastAsia="仿宋" w:cs="Arial"/>
          <w:sz w:val="28"/>
          <w:szCs w:val="28"/>
          <w:lang w:eastAsia="zh-CN"/>
        </w:rPr>
        <w:t>夹芯板</w:t>
      </w:r>
      <w:r>
        <w:rPr>
          <w:rFonts w:hint="eastAsia" w:ascii="仿宋" w:hAnsi="仿宋" w:eastAsia="仿宋" w:cs="Arial"/>
          <w:sz w:val="28"/>
          <w:szCs w:val="28"/>
        </w:rPr>
        <w:t>8平方米为检验样品。</w:t>
      </w:r>
    </w:p>
    <w:p>
      <w:pPr>
        <w:ind w:left="-199" w:leftChars="-95" w:firstLine="280" w:firstLineChars="100"/>
        <w:jc w:val="left"/>
        <w:rPr>
          <w:rFonts w:ascii="仿宋" w:hAnsi="仿宋" w:eastAsia="仿宋" w:cs="宋体"/>
          <w:color w:val="000000"/>
          <w:sz w:val="28"/>
          <w:szCs w:val="28"/>
        </w:rPr>
      </w:pPr>
      <w:r>
        <w:rPr>
          <w:rFonts w:hint="eastAsia" w:ascii="仿宋" w:hAnsi="仿宋" w:eastAsia="仿宋" w:cs="Arial"/>
          <w:sz w:val="28"/>
          <w:szCs w:val="28"/>
        </w:rPr>
        <w:t>另200mm×200mm3块;200mm×原板宽4块;</w:t>
      </w:r>
      <w:r>
        <w:rPr>
          <w:rFonts w:hint="eastAsia" w:ascii="仿宋" w:hAnsi="仿宋" w:eastAsia="仿宋" w:cs="Arial"/>
          <w:sz w:val="28"/>
          <w:szCs w:val="28"/>
          <w:lang w:eastAsia="zh-CN"/>
        </w:rPr>
        <w:t>夹芯板</w:t>
      </w:r>
      <w:r>
        <w:rPr>
          <w:rFonts w:hint="eastAsia" w:ascii="仿宋" w:hAnsi="仿宋" w:eastAsia="仿宋" w:cs="Arial"/>
          <w:sz w:val="28"/>
          <w:szCs w:val="28"/>
        </w:rPr>
        <w:t>8平方米为备用样品。</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w:t>
      </w:r>
      <w:r>
        <w:rPr>
          <w:rFonts w:hint="eastAsia" w:ascii="仿宋" w:hAnsi="仿宋" w:eastAsia="仿宋" w:cs="仿宋"/>
          <w:color w:val="000000"/>
          <w:spacing w:val="-10"/>
          <w:sz w:val="28"/>
          <w:szCs w:val="28"/>
          <w:lang w:val="en-US" w:eastAsia="zh-CN"/>
        </w:rPr>
        <w:t>3</w:t>
      </w:r>
      <w:r>
        <w:rPr>
          <w:rFonts w:hint="eastAsia" w:ascii="仿宋" w:hAnsi="仿宋" w:eastAsia="仿宋" w:cs="仿宋"/>
          <w:color w:val="000000"/>
          <w:spacing w:val="-10"/>
          <w:sz w:val="28"/>
          <w:szCs w:val="28"/>
        </w:rPr>
        <w:t>抽样基数满足抽样数量即可。</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2 检验要求</w:t>
      </w:r>
    </w:p>
    <w:p>
      <w:pPr>
        <w:spacing w:line="300" w:lineRule="auto"/>
        <w:jc w:val="center"/>
        <w:rPr>
          <w:rFonts w:ascii="仿宋" w:hAnsi="仿宋" w:eastAsia="仿宋" w:cs="仿宋"/>
          <w:sz w:val="28"/>
          <w:szCs w:val="28"/>
        </w:rPr>
      </w:pPr>
      <w:r>
        <w:rPr>
          <w:rFonts w:hint="eastAsia" w:ascii="仿宋" w:hAnsi="仿宋" w:eastAsia="仿宋" w:cs="仿宋"/>
          <w:sz w:val="28"/>
          <w:szCs w:val="28"/>
        </w:rPr>
        <w:t>表1 建筑用金属面绝热夹芯板检验项目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402"/>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699" w:type="dxa"/>
            <w:vMerge w:val="restart"/>
            <w:vAlign w:val="center"/>
          </w:tcPr>
          <w:p>
            <w:pPr>
              <w:snapToGrid w:val="0"/>
              <w:jc w:val="center"/>
              <w:rPr>
                <w:rFonts w:ascii="仿宋" w:hAnsi="仿宋" w:eastAsia="仿宋"/>
                <w:sz w:val="28"/>
                <w:szCs w:val="28"/>
              </w:rPr>
            </w:pPr>
            <w:r>
              <w:rPr>
                <w:rFonts w:hint="eastAsia" w:ascii="仿宋" w:hAnsi="仿宋" w:eastAsia="仿宋"/>
                <w:sz w:val="28"/>
                <w:szCs w:val="28"/>
              </w:rPr>
              <w:t>序号</w:t>
            </w:r>
          </w:p>
        </w:tc>
        <w:tc>
          <w:tcPr>
            <w:tcW w:w="3402" w:type="dxa"/>
            <w:vMerge w:val="restart"/>
            <w:vAlign w:val="center"/>
          </w:tcPr>
          <w:p>
            <w:pPr>
              <w:snapToGrid w:val="0"/>
              <w:jc w:val="center"/>
              <w:rPr>
                <w:rFonts w:ascii="仿宋" w:hAnsi="仿宋" w:eastAsia="仿宋"/>
                <w:sz w:val="28"/>
                <w:szCs w:val="28"/>
              </w:rPr>
            </w:pPr>
            <w:r>
              <w:rPr>
                <w:rFonts w:hint="eastAsia" w:ascii="仿宋" w:hAnsi="仿宋" w:eastAsia="仿宋"/>
                <w:sz w:val="28"/>
                <w:szCs w:val="28"/>
              </w:rPr>
              <w:t>检验项目</w:t>
            </w:r>
          </w:p>
        </w:tc>
        <w:tc>
          <w:tcPr>
            <w:tcW w:w="2482" w:type="dxa"/>
            <w:vMerge w:val="restart"/>
            <w:vAlign w:val="center"/>
          </w:tcPr>
          <w:p>
            <w:pPr>
              <w:snapToGrid w:val="0"/>
              <w:jc w:val="center"/>
              <w:rPr>
                <w:rFonts w:ascii="仿宋" w:hAnsi="仿宋" w:eastAsia="仿宋"/>
                <w:sz w:val="28"/>
                <w:szCs w:val="28"/>
              </w:rPr>
            </w:pPr>
            <w:r>
              <w:rPr>
                <w:rFonts w:hint="eastAsia" w:ascii="仿宋" w:hAnsi="仿宋" w:eastAsia="仿宋"/>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699" w:type="dxa"/>
            <w:vMerge w:val="continue"/>
            <w:vAlign w:val="center"/>
          </w:tcPr>
          <w:p>
            <w:pPr>
              <w:snapToGrid w:val="0"/>
              <w:ind w:firstLine="420"/>
              <w:jc w:val="center"/>
              <w:rPr>
                <w:rFonts w:ascii="仿宋" w:hAnsi="仿宋" w:eastAsia="仿宋"/>
                <w:sz w:val="28"/>
                <w:szCs w:val="28"/>
              </w:rPr>
            </w:pPr>
          </w:p>
        </w:tc>
        <w:tc>
          <w:tcPr>
            <w:tcW w:w="3402" w:type="dxa"/>
            <w:vMerge w:val="continue"/>
            <w:vAlign w:val="center"/>
          </w:tcPr>
          <w:p>
            <w:pPr>
              <w:snapToGrid w:val="0"/>
              <w:ind w:firstLine="420"/>
              <w:jc w:val="center"/>
              <w:rPr>
                <w:rFonts w:ascii="仿宋" w:hAnsi="仿宋" w:eastAsia="仿宋"/>
                <w:sz w:val="28"/>
                <w:szCs w:val="28"/>
              </w:rPr>
            </w:pPr>
          </w:p>
        </w:tc>
        <w:tc>
          <w:tcPr>
            <w:tcW w:w="2482" w:type="dxa"/>
            <w:vMerge w:val="continue"/>
            <w:vAlign w:val="center"/>
          </w:tcPr>
          <w:p>
            <w:pPr>
              <w:snapToGrid w:val="0"/>
              <w:ind w:firstLine="4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360" w:lineRule="auto"/>
              <w:jc w:val="center"/>
              <w:rPr>
                <w:rFonts w:ascii="仿宋" w:hAnsi="仿宋" w:eastAsia="仿宋" w:cs="方正仿宋简体"/>
                <w:sz w:val="28"/>
                <w:szCs w:val="28"/>
              </w:rPr>
            </w:pPr>
            <w:r>
              <w:rPr>
                <w:rFonts w:hint="eastAsia" w:ascii="仿宋" w:hAnsi="仿宋" w:eastAsia="仿宋" w:cs="方正仿宋简体"/>
                <w:sz w:val="28"/>
                <w:szCs w:val="28"/>
              </w:rPr>
              <w:t>1</w:t>
            </w:r>
          </w:p>
        </w:tc>
        <w:tc>
          <w:tcPr>
            <w:tcW w:w="340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基板厚度</w:t>
            </w:r>
            <w:r>
              <w:rPr>
                <w:rFonts w:hint="eastAsia" w:ascii="仿宋" w:hAnsi="仿宋" w:eastAsia="仿宋" w:cs="仿宋"/>
                <w:color w:val="000000"/>
                <w:spacing w:val="-10"/>
                <w:sz w:val="28"/>
                <w:szCs w:val="28"/>
              </w:rPr>
              <w:t>(原材料要求)</w:t>
            </w:r>
          </w:p>
        </w:tc>
        <w:tc>
          <w:tcPr>
            <w:tcW w:w="248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相应牌号基板标准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360" w:lineRule="auto"/>
              <w:jc w:val="center"/>
              <w:rPr>
                <w:rFonts w:ascii="仿宋" w:hAnsi="仿宋" w:eastAsia="仿宋" w:cs="方正仿宋简体"/>
                <w:sz w:val="28"/>
                <w:szCs w:val="28"/>
              </w:rPr>
            </w:pPr>
            <w:r>
              <w:rPr>
                <w:rFonts w:hint="eastAsia" w:ascii="仿宋" w:hAnsi="仿宋" w:eastAsia="仿宋" w:cs="方正仿宋简体"/>
                <w:sz w:val="28"/>
                <w:szCs w:val="28"/>
              </w:rPr>
              <w:t>2</w:t>
            </w:r>
          </w:p>
        </w:tc>
        <w:tc>
          <w:tcPr>
            <w:tcW w:w="340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粘接强度</w:t>
            </w:r>
          </w:p>
        </w:tc>
        <w:tc>
          <w:tcPr>
            <w:tcW w:w="2482" w:type="dxa"/>
            <w:vAlign w:val="center"/>
          </w:tcPr>
          <w:p>
            <w:pPr>
              <w:spacing w:line="360" w:lineRule="auto"/>
              <w:jc w:val="center"/>
              <w:rPr>
                <w:rFonts w:ascii="仿宋" w:hAnsi="仿宋" w:eastAsia="仿宋" w:cs="方正仿宋简体"/>
                <w:sz w:val="28"/>
                <w:szCs w:val="28"/>
              </w:rPr>
            </w:pPr>
            <w:r>
              <w:rPr>
                <w:rFonts w:ascii="仿宋" w:hAnsi="仿宋" w:eastAsia="仿宋" w:cs="Arial"/>
                <w:sz w:val="28"/>
                <w:szCs w:val="28"/>
              </w:rPr>
              <w:t>GB/T23932-2009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360" w:lineRule="auto"/>
              <w:jc w:val="center"/>
              <w:rPr>
                <w:rFonts w:ascii="仿宋" w:hAnsi="仿宋" w:eastAsia="仿宋" w:cs="方正仿宋简体"/>
                <w:sz w:val="28"/>
                <w:szCs w:val="28"/>
              </w:rPr>
            </w:pPr>
            <w:r>
              <w:rPr>
                <w:rFonts w:hint="eastAsia" w:ascii="仿宋" w:hAnsi="仿宋" w:eastAsia="仿宋" w:cs="方正仿宋简体"/>
                <w:sz w:val="28"/>
                <w:szCs w:val="28"/>
              </w:rPr>
              <w:t>3</w:t>
            </w:r>
          </w:p>
        </w:tc>
        <w:tc>
          <w:tcPr>
            <w:tcW w:w="340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剥离性能</w:t>
            </w:r>
          </w:p>
        </w:tc>
        <w:tc>
          <w:tcPr>
            <w:tcW w:w="2482" w:type="dxa"/>
            <w:vAlign w:val="center"/>
          </w:tcPr>
          <w:p>
            <w:pPr>
              <w:spacing w:line="360" w:lineRule="auto"/>
              <w:jc w:val="center"/>
              <w:rPr>
                <w:rFonts w:ascii="仿宋" w:hAnsi="仿宋" w:eastAsia="仿宋" w:cs="方正仿宋简体"/>
                <w:sz w:val="28"/>
                <w:szCs w:val="28"/>
              </w:rPr>
            </w:pPr>
            <w:r>
              <w:rPr>
                <w:rFonts w:ascii="仿宋" w:hAnsi="仿宋" w:eastAsia="仿宋" w:cs="Arial"/>
                <w:sz w:val="28"/>
                <w:szCs w:val="28"/>
              </w:rPr>
              <w:t>GB/T23932-2009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360" w:lineRule="auto"/>
              <w:jc w:val="center"/>
              <w:rPr>
                <w:rFonts w:ascii="仿宋" w:hAnsi="仿宋" w:eastAsia="仿宋" w:cs="方正仿宋简体"/>
                <w:sz w:val="28"/>
                <w:szCs w:val="28"/>
              </w:rPr>
            </w:pPr>
            <w:r>
              <w:rPr>
                <w:rFonts w:hint="eastAsia" w:ascii="仿宋" w:hAnsi="仿宋" w:eastAsia="仿宋" w:cs="方正仿宋简体"/>
                <w:sz w:val="28"/>
                <w:szCs w:val="28"/>
              </w:rPr>
              <w:t>4</w:t>
            </w:r>
          </w:p>
        </w:tc>
        <w:tc>
          <w:tcPr>
            <w:tcW w:w="3402" w:type="dxa"/>
            <w:vAlign w:val="center"/>
          </w:tcPr>
          <w:p>
            <w:pPr>
              <w:spacing w:line="360" w:lineRule="auto"/>
              <w:jc w:val="center"/>
              <w:rPr>
                <w:rFonts w:ascii="仿宋" w:hAnsi="仿宋" w:eastAsia="仿宋" w:cs="仿宋"/>
                <w:color w:val="000000"/>
                <w:spacing w:val="-10"/>
                <w:sz w:val="28"/>
                <w:szCs w:val="28"/>
              </w:rPr>
            </w:pPr>
            <w:r>
              <w:rPr>
                <w:rFonts w:hint="eastAsia" w:ascii="仿宋" w:hAnsi="仿宋" w:eastAsia="仿宋" w:cs="Arial"/>
                <w:sz w:val="28"/>
                <w:szCs w:val="28"/>
              </w:rPr>
              <w:t>聚苯乙烯密度</w:t>
            </w:r>
          </w:p>
          <w:p>
            <w:pPr>
              <w:spacing w:line="360" w:lineRule="auto"/>
              <w:jc w:val="center"/>
              <w:rPr>
                <w:rFonts w:ascii="仿宋" w:hAnsi="仿宋" w:eastAsia="仿宋" w:cs="Arial"/>
                <w:sz w:val="28"/>
                <w:szCs w:val="28"/>
              </w:rPr>
            </w:pPr>
            <w:r>
              <w:rPr>
                <w:rFonts w:hint="eastAsia" w:ascii="仿宋" w:hAnsi="仿宋" w:eastAsia="仿宋" w:cs="仿宋"/>
                <w:color w:val="000000"/>
                <w:spacing w:val="-10"/>
                <w:sz w:val="28"/>
                <w:szCs w:val="28"/>
              </w:rPr>
              <w:t>(原材料要求)</w:t>
            </w:r>
          </w:p>
        </w:tc>
        <w:tc>
          <w:tcPr>
            <w:tcW w:w="248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GB/T6343-2009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360" w:lineRule="auto"/>
              <w:jc w:val="center"/>
              <w:rPr>
                <w:rFonts w:ascii="仿宋" w:hAnsi="仿宋" w:eastAsia="仿宋" w:cs="方正仿宋简体"/>
                <w:sz w:val="28"/>
                <w:szCs w:val="28"/>
              </w:rPr>
            </w:pPr>
            <w:r>
              <w:rPr>
                <w:rFonts w:hint="eastAsia" w:ascii="仿宋" w:hAnsi="仿宋" w:eastAsia="仿宋" w:cs="方正仿宋简体"/>
                <w:sz w:val="28"/>
                <w:szCs w:val="28"/>
              </w:rPr>
              <w:t>5</w:t>
            </w:r>
          </w:p>
        </w:tc>
        <w:tc>
          <w:tcPr>
            <w:tcW w:w="340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燃烧性能</w:t>
            </w:r>
            <w:r>
              <w:rPr>
                <w:rFonts w:hint="eastAsia" w:ascii="仿宋" w:hAnsi="仿宋" w:eastAsia="仿宋" w:cs="仿宋"/>
                <w:color w:val="000000"/>
                <w:spacing w:val="-10"/>
                <w:sz w:val="28"/>
                <w:szCs w:val="28"/>
              </w:rPr>
              <w:t>(原材料要求)</w:t>
            </w:r>
          </w:p>
        </w:tc>
        <w:tc>
          <w:tcPr>
            <w:tcW w:w="2482" w:type="dxa"/>
            <w:vAlign w:val="center"/>
          </w:tcPr>
          <w:p>
            <w:pPr>
              <w:spacing w:line="360" w:lineRule="auto"/>
              <w:jc w:val="center"/>
              <w:rPr>
                <w:rFonts w:ascii="仿宋" w:hAnsi="仿宋" w:eastAsia="仿宋" w:cs="Arial"/>
                <w:sz w:val="28"/>
                <w:szCs w:val="28"/>
              </w:rPr>
            </w:pPr>
            <w:r>
              <w:rPr>
                <w:rFonts w:hint="eastAsia" w:ascii="仿宋" w:hAnsi="仿宋" w:eastAsia="仿宋" w:cs="Arial"/>
                <w:sz w:val="28"/>
                <w:szCs w:val="28"/>
              </w:rPr>
              <w:t>GB8624-2012</w:t>
            </w:r>
          </w:p>
        </w:tc>
      </w:tr>
    </w:tbl>
    <w:p>
      <w:pPr>
        <w:snapToGrid w:val="0"/>
        <w:spacing w:line="440" w:lineRule="exact"/>
        <w:rPr>
          <w:rFonts w:ascii="仿宋" w:hAnsi="仿宋" w:eastAsia="仿宋"/>
          <w:sz w:val="28"/>
          <w:szCs w:val="28"/>
        </w:rPr>
      </w:pPr>
    </w:p>
    <w:p>
      <w:pPr>
        <w:snapToGrid w:val="0"/>
        <w:spacing w:line="440" w:lineRule="exact"/>
        <w:rPr>
          <w:rFonts w:hint="eastAsia" w:ascii="仿宋" w:hAnsi="仿宋" w:eastAsia="仿宋"/>
          <w:sz w:val="28"/>
          <w:szCs w:val="28"/>
        </w:rPr>
      </w:pPr>
      <w:r>
        <w:rPr>
          <w:rFonts w:hint="eastAsia" w:ascii="仿宋" w:hAnsi="仿宋" w:eastAsia="仿宋"/>
          <w:sz w:val="28"/>
          <w:szCs w:val="28"/>
        </w:rPr>
        <w:t>执行企业标准、团体标准、地方标准的产品，检验项目参照上述内容执行。</w:t>
      </w:r>
    </w:p>
    <w:p>
      <w:pPr>
        <w:snapToGrid w:val="0"/>
        <w:spacing w:line="440" w:lineRule="exact"/>
        <w:rPr>
          <w:rFonts w:ascii="仿宋" w:hAnsi="仿宋" w:eastAsia="仿宋" w:cs="仿宋"/>
          <w:color w:val="000000"/>
          <w:spacing w:val="-10"/>
          <w:sz w:val="28"/>
          <w:szCs w:val="28"/>
        </w:rPr>
      </w:pPr>
      <w:r>
        <w:rPr>
          <w:rFonts w:hint="eastAsia" w:ascii="仿宋" w:hAnsi="仿宋" w:eastAsia="仿宋"/>
          <w:sz w:val="28"/>
          <w:szCs w:val="28"/>
        </w:rPr>
        <w:t>注：</w:t>
      </w:r>
      <w:r>
        <w:rPr>
          <w:rFonts w:hint="eastAsia" w:ascii="仿宋" w:hAnsi="仿宋" w:eastAsia="仿宋" w:cs="仿宋"/>
          <w:color w:val="000000"/>
          <w:spacing w:val="-10"/>
          <w:sz w:val="28"/>
          <w:szCs w:val="28"/>
        </w:rPr>
        <w:t>凡是注日期的文件，其随后所有的修改单（不包括勘误的内容）或修订版不适用于本细则。凡是不注日期的文件，其最新版本适用于本细则。</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3 判定规则</w:t>
      </w:r>
    </w:p>
    <w:p>
      <w:pPr>
        <w:widowControl/>
        <w:ind w:firstLine="480"/>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3.1依据标准</w:t>
      </w:r>
    </w:p>
    <w:p>
      <w:pPr>
        <w:widowControl/>
        <w:ind w:firstLine="480"/>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金属面材相应牌号基板标准(原材料要求)</w:t>
      </w:r>
    </w:p>
    <w:p>
      <w:pPr>
        <w:widowControl/>
        <w:ind w:firstLine="520" w:firstLineChars="200"/>
        <w:jc w:val="left"/>
        <w:rPr>
          <w:rFonts w:ascii="仿宋" w:hAnsi="仿宋" w:eastAsia="仿宋" w:cs="仿宋"/>
          <w:color w:val="000000"/>
          <w:spacing w:val="-10"/>
          <w:sz w:val="28"/>
          <w:szCs w:val="28"/>
        </w:rPr>
      </w:pPr>
      <w:r>
        <w:rPr>
          <w:rFonts w:ascii="仿宋" w:hAnsi="仿宋" w:eastAsia="仿宋" w:cs="仿宋"/>
          <w:color w:val="000000"/>
          <w:spacing w:val="-10"/>
          <w:sz w:val="28"/>
          <w:szCs w:val="28"/>
        </w:rPr>
        <w:t xml:space="preserve">GB/T23932-2009 </w:t>
      </w:r>
      <w:r>
        <w:rPr>
          <w:rFonts w:hint="eastAsia" w:ascii="仿宋" w:hAnsi="仿宋" w:eastAsia="仿宋" w:cs="仿宋"/>
          <w:color w:val="000000"/>
          <w:spacing w:val="-10"/>
          <w:sz w:val="28"/>
          <w:szCs w:val="28"/>
        </w:rPr>
        <w:t>建筑用金属面绝热夹芯板</w:t>
      </w:r>
    </w:p>
    <w:p>
      <w:pPr>
        <w:widowControl/>
        <w:ind w:firstLine="520" w:firstLineChars="200"/>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GB8624-2012建筑材料及制品燃烧性能分级 (原材料要求)</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相关的法律、行政法规、部门规章、规范性文件</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现行有效的企业标准、团体标准、地方标准及产品明示质量要求</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w:t>
      </w:r>
      <w:r>
        <w:rPr>
          <w:rFonts w:hint="eastAsia" w:ascii="仿宋" w:hAnsi="仿宋" w:eastAsia="仿宋" w:cs="仿宋"/>
          <w:color w:val="000000"/>
          <w:spacing w:val="-10"/>
          <w:sz w:val="28"/>
          <w:szCs w:val="28"/>
          <w:lang w:val="en-US" w:eastAsia="zh-CN"/>
        </w:rPr>
        <w:t xml:space="preserve">   </w:t>
      </w:r>
      <w:bookmarkStart w:id="0" w:name="_GoBack"/>
      <w:bookmarkEnd w:id="0"/>
      <w:r>
        <w:rPr>
          <w:rFonts w:hint="eastAsia" w:ascii="仿宋" w:hAnsi="仿宋" w:eastAsia="仿宋" w:cs="仿宋"/>
          <w:color w:val="000000"/>
          <w:spacing w:val="-10"/>
          <w:sz w:val="28"/>
          <w:szCs w:val="28"/>
        </w:rPr>
        <w:t>3.2判定原则</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经检验，检验项目全部合格，判定为被抽查产品合格；检验项目中任一项或一项以上不合格，判定为被抽查产品不合格。</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若被检产品明示的质量要求高于本细则中检验项目依据的标准要求时，应按被检产品明示的质量要求判定。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若被检产品明示的质量要求低于本细则中检验项目依据的强制性标准要求时，应按照强制性标准要求判定。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若被检产品明示的质量要求低于或包含本细则中检验项目依据的推荐性标准要求时，应以被检产品明示的质量要求判定。</w:t>
      </w:r>
    </w:p>
    <w:p>
      <w:pPr>
        <w:widowControl/>
        <w:ind w:firstLine="465"/>
        <w:jc w:val="left"/>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若被检产品明示的质量要求缺少本细则中检验项目依据的强制性标准要求时，应按照强制性标准要求判定。</w:t>
      </w:r>
    </w:p>
    <w:p>
      <w:pPr>
        <w:widowControl/>
        <w:ind w:firstLine="520" w:firstLineChars="200"/>
        <w:jc w:val="left"/>
        <w:rPr>
          <w:sz w:val="28"/>
          <w:szCs w:val="28"/>
        </w:rPr>
      </w:pPr>
      <w:r>
        <w:rPr>
          <w:rFonts w:hint="eastAsia" w:ascii="仿宋" w:hAnsi="仿宋" w:eastAsia="仿宋" w:cs="仿宋"/>
          <w:color w:val="000000"/>
          <w:spacing w:val="-10"/>
          <w:sz w:val="28"/>
          <w:szCs w:val="28"/>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UyYTNlOGZhOTVjZmZkNTM5NTZiMDRhYjJlZjIifQ=="/>
  </w:docVars>
  <w:rsids>
    <w:rsidRoot w:val="00DC0F2E"/>
    <w:rsid w:val="00011CA1"/>
    <w:rsid w:val="00014D9B"/>
    <w:rsid w:val="00026066"/>
    <w:rsid w:val="00097BC8"/>
    <w:rsid w:val="000C0A5F"/>
    <w:rsid w:val="000E54AD"/>
    <w:rsid w:val="001230D2"/>
    <w:rsid w:val="00123E7D"/>
    <w:rsid w:val="001316CC"/>
    <w:rsid w:val="00160004"/>
    <w:rsid w:val="00166F19"/>
    <w:rsid w:val="00181CB2"/>
    <w:rsid w:val="00186AF1"/>
    <w:rsid w:val="001C4251"/>
    <w:rsid w:val="001C6546"/>
    <w:rsid w:val="001E037E"/>
    <w:rsid w:val="00204BAF"/>
    <w:rsid w:val="00206EB6"/>
    <w:rsid w:val="00245784"/>
    <w:rsid w:val="002E2170"/>
    <w:rsid w:val="002F3CAF"/>
    <w:rsid w:val="0030622B"/>
    <w:rsid w:val="00322039"/>
    <w:rsid w:val="0033349D"/>
    <w:rsid w:val="0035295D"/>
    <w:rsid w:val="00365F15"/>
    <w:rsid w:val="003863CD"/>
    <w:rsid w:val="003D5457"/>
    <w:rsid w:val="00400665"/>
    <w:rsid w:val="00406128"/>
    <w:rsid w:val="0041017B"/>
    <w:rsid w:val="004A764F"/>
    <w:rsid w:val="004D71FD"/>
    <w:rsid w:val="00573450"/>
    <w:rsid w:val="00574803"/>
    <w:rsid w:val="005B0753"/>
    <w:rsid w:val="005B4532"/>
    <w:rsid w:val="005B709B"/>
    <w:rsid w:val="005F1C9E"/>
    <w:rsid w:val="006101B3"/>
    <w:rsid w:val="00614E22"/>
    <w:rsid w:val="006624E8"/>
    <w:rsid w:val="00665A83"/>
    <w:rsid w:val="006A6931"/>
    <w:rsid w:val="006C68BD"/>
    <w:rsid w:val="006F4065"/>
    <w:rsid w:val="0071584D"/>
    <w:rsid w:val="00774E3B"/>
    <w:rsid w:val="007C5196"/>
    <w:rsid w:val="007D2A0E"/>
    <w:rsid w:val="00821769"/>
    <w:rsid w:val="008354FE"/>
    <w:rsid w:val="008760DC"/>
    <w:rsid w:val="008930DB"/>
    <w:rsid w:val="008B2584"/>
    <w:rsid w:val="008C3AEF"/>
    <w:rsid w:val="008E1BFC"/>
    <w:rsid w:val="009154CF"/>
    <w:rsid w:val="00934A24"/>
    <w:rsid w:val="00946CE4"/>
    <w:rsid w:val="00951397"/>
    <w:rsid w:val="0099364C"/>
    <w:rsid w:val="009B4A11"/>
    <w:rsid w:val="009F0899"/>
    <w:rsid w:val="00A67C61"/>
    <w:rsid w:val="00A96AD2"/>
    <w:rsid w:val="00AA1A69"/>
    <w:rsid w:val="00AB5FA5"/>
    <w:rsid w:val="00AD2844"/>
    <w:rsid w:val="00AF582F"/>
    <w:rsid w:val="00B2498A"/>
    <w:rsid w:val="00B27666"/>
    <w:rsid w:val="00B37B7D"/>
    <w:rsid w:val="00B66C58"/>
    <w:rsid w:val="00B82FBA"/>
    <w:rsid w:val="00BB49EA"/>
    <w:rsid w:val="00BC0197"/>
    <w:rsid w:val="00BE4F21"/>
    <w:rsid w:val="00C734B8"/>
    <w:rsid w:val="00C87C4F"/>
    <w:rsid w:val="00CC4F0D"/>
    <w:rsid w:val="00D01318"/>
    <w:rsid w:val="00D914C9"/>
    <w:rsid w:val="00DC0F2E"/>
    <w:rsid w:val="00DE6655"/>
    <w:rsid w:val="00E57166"/>
    <w:rsid w:val="00E87876"/>
    <w:rsid w:val="00ED0FC7"/>
    <w:rsid w:val="00EE5EFF"/>
    <w:rsid w:val="00EE6A22"/>
    <w:rsid w:val="00EE7AF8"/>
    <w:rsid w:val="00F33039"/>
    <w:rsid w:val="00F81557"/>
    <w:rsid w:val="00F859CD"/>
    <w:rsid w:val="00FB2DDE"/>
    <w:rsid w:val="01484FA4"/>
    <w:rsid w:val="01BB7564"/>
    <w:rsid w:val="0B1B2838"/>
    <w:rsid w:val="0BEB2B5C"/>
    <w:rsid w:val="10B56042"/>
    <w:rsid w:val="159877D6"/>
    <w:rsid w:val="17220999"/>
    <w:rsid w:val="17D77CFD"/>
    <w:rsid w:val="195B0AE7"/>
    <w:rsid w:val="1FE21EC2"/>
    <w:rsid w:val="22014F16"/>
    <w:rsid w:val="2AB04F8A"/>
    <w:rsid w:val="3C4562A2"/>
    <w:rsid w:val="3CA23BE0"/>
    <w:rsid w:val="485F683A"/>
    <w:rsid w:val="48CD45B6"/>
    <w:rsid w:val="4A257C3B"/>
    <w:rsid w:val="4CB07728"/>
    <w:rsid w:val="569214ED"/>
    <w:rsid w:val="59867E20"/>
    <w:rsid w:val="5ECC21A4"/>
    <w:rsid w:val="61F1119D"/>
    <w:rsid w:val="67997FE7"/>
    <w:rsid w:val="6A662934"/>
    <w:rsid w:val="6E841DDA"/>
    <w:rsid w:val="72BB4347"/>
    <w:rsid w:val="756C0D83"/>
    <w:rsid w:val="77950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785</Words>
  <Characters>912</Characters>
  <Lines>7</Lines>
  <Paragraphs>2</Paragraphs>
  <TotalTime>63</TotalTime>
  <ScaleCrop>false</ScaleCrop>
  <LinksUpToDate>false</LinksUpToDate>
  <CharactersWithSpaces>931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2020-04-13T06:50:00Z</dcterms:created>
  <dc:creator>Administrator</dc:creator>
  <cp:lastModifiedBy>段畅游</cp:lastModifiedBy>
  <dcterms:modified xsi:type="dcterms:W3CDTF">2022-08-29T02:41:03Z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395CB497F4B448B19EF408A1A8ADACAD</vt:lpwstr>
  </property>
</Properties>
</file>