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 w:hAnsi="仿宋" w:eastAsia="仿宋" w:cs="仿宋"/>
          <w:color w:val="000000"/>
          <w:sz w:val="36"/>
          <w:szCs w:val="36"/>
        </w:rPr>
      </w:pPr>
      <w:r>
        <w:rPr>
          <w:rFonts w:hint="eastAsia" w:ascii="仿宋" w:hAnsi="仿宋" w:eastAsia="仿宋" w:cs="仿宋"/>
          <w:color w:val="000000"/>
          <w:sz w:val="36"/>
          <w:szCs w:val="36"/>
        </w:rPr>
        <w:t>长春市2022年检查井盖产品质量监督抽查实施细则</w:t>
      </w:r>
    </w:p>
    <w:p>
      <w:pPr>
        <w:spacing w:line="620" w:lineRule="exact"/>
        <w:jc w:val="center"/>
        <w:rPr>
          <w:rFonts w:ascii="仿宋" w:hAnsi="仿宋" w:eastAsia="仿宋" w:cs="宋体"/>
          <w:color w:val="000000"/>
          <w:sz w:val="44"/>
          <w:szCs w:val="44"/>
        </w:rPr>
      </w:pP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 抽样方法</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1.1抽样型号或规格</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抽取产品应为同一类别、同一规格，同一原材料的产品。</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1.2抽样方法、基数及数量</w:t>
      </w:r>
    </w:p>
    <w:p>
      <w:pPr>
        <w:spacing w:line="300" w:lineRule="auto"/>
        <w:rPr>
          <w:rFonts w:ascii="仿宋" w:hAnsi="仿宋" w:eastAsia="仿宋" w:cs="宋体"/>
          <w:color w:val="000000"/>
          <w:sz w:val="28"/>
          <w:szCs w:val="28"/>
        </w:rPr>
      </w:pPr>
      <w:r>
        <w:rPr>
          <w:rFonts w:hint="eastAsia" w:ascii="仿宋" w:hAnsi="仿宋" w:eastAsia="仿宋" w:cs="仿宋"/>
          <w:color w:val="000000"/>
          <w:spacing w:val="-10"/>
          <w:sz w:val="28"/>
          <w:szCs w:val="28"/>
        </w:rPr>
        <w:t>1.2.1以随机抽样的方式在被抽样生产者（经销者）的待销产品中抽取</w:t>
      </w:r>
      <w:r>
        <w:rPr>
          <w:rFonts w:hint="eastAsia" w:ascii="仿宋" w:hAnsi="仿宋" w:eastAsia="仿宋" w:cs="Arial"/>
          <w:sz w:val="28"/>
          <w:szCs w:val="28"/>
        </w:rPr>
        <w:t>。随机数一般可使用随机数表等方法产生。备用样品封存于受检单位。</w:t>
      </w:r>
    </w:p>
    <w:p>
      <w:pPr>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1.2.2检验数量：</w:t>
      </w:r>
    </w:p>
    <w:p>
      <w:pPr>
        <w:ind w:firstLine="520" w:firstLineChars="200"/>
        <w:jc w:val="left"/>
        <w:rPr>
          <w:rFonts w:ascii="仿宋" w:hAnsi="仿宋" w:eastAsia="仿宋" w:cs="仿宋"/>
          <w:spacing w:val="-10"/>
          <w:sz w:val="28"/>
          <w:szCs w:val="28"/>
        </w:rPr>
      </w:pPr>
      <w:r>
        <w:rPr>
          <w:rFonts w:hint="eastAsia" w:ascii="仿宋" w:hAnsi="仿宋" w:eastAsia="仿宋" w:cs="仿宋"/>
          <w:spacing w:val="-10"/>
          <w:sz w:val="28"/>
          <w:szCs w:val="28"/>
        </w:rPr>
        <w:t>检查井盖抽取4套。</w:t>
      </w:r>
      <w:r>
        <w:rPr>
          <w:rFonts w:hint="eastAsia" w:ascii="仿宋" w:hAnsi="仿宋" w:eastAsia="仿宋" w:cs="宋体"/>
          <w:sz w:val="28"/>
          <w:szCs w:val="28"/>
        </w:rPr>
        <w:t>2套作为检验用样品，2套作为备用样品。</w:t>
      </w:r>
    </w:p>
    <w:p>
      <w:pPr>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1.2.3抽样基数满足抽样数量即可。</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2 检验要求</w:t>
      </w:r>
    </w:p>
    <w:p>
      <w:pPr>
        <w:spacing w:line="300" w:lineRule="auto"/>
        <w:jc w:val="center"/>
        <w:rPr>
          <w:rFonts w:ascii="仿宋" w:hAnsi="仿宋" w:eastAsia="仿宋" w:cs="仿宋"/>
          <w:sz w:val="28"/>
          <w:szCs w:val="28"/>
        </w:rPr>
      </w:pPr>
      <w:r>
        <w:rPr>
          <w:rFonts w:hint="eastAsia" w:ascii="仿宋" w:hAnsi="仿宋" w:eastAsia="仿宋" w:cs="仿宋"/>
          <w:sz w:val="28"/>
          <w:szCs w:val="28"/>
        </w:rPr>
        <w:t>表1</w:t>
      </w:r>
      <w:r>
        <w:rPr>
          <w:rFonts w:hint="eastAsia" w:ascii="仿宋" w:hAnsi="仿宋" w:eastAsia="仿宋" w:cs="仿宋"/>
          <w:color w:val="000000"/>
          <w:spacing w:val="-10"/>
          <w:sz w:val="28"/>
          <w:szCs w:val="28"/>
        </w:rPr>
        <w:t>检查井盖</w:t>
      </w:r>
      <w:r>
        <w:rPr>
          <w:rFonts w:hint="eastAsia" w:ascii="仿宋" w:hAnsi="仿宋" w:eastAsia="仿宋" w:cs="宋体"/>
          <w:color w:val="000000"/>
          <w:sz w:val="28"/>
          <w:szCs w:val="28"/>
        </w:rPr>
        <w:t xml:space="preserve"> </w:t>
      </w:r>
      <w:r>
        <w:rPr>
          <w:rFonts w:hint="eastAsia" w:ascii="仿宋" w:hAnsi="仿宋" w:eastAsia="仿宋" w:cs="仿宋"/>
          <w:sz w:val="28"/>
          <w:szCs w:val="28"/>
        </w:rPr>
        <w:t>检验项目</w:t>
      </w:r>
    </w:p>
    <w:tbl>
      <w:tblPr>
        <w:tblStyle w:val="5"/>
        <w:tblW w:w="7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912"/>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7"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912"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检验项目</w:t>
            </w:r>
          </w:p>
        </w:tc>
        <w:tc>
          <w:tcPr>
            <w:tcW w:w="3538"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 w:hAnsi="仿宋" w:eastAsia="仿宋" w:cs="仿宋"/>
                <w:sz w:val="28"/>
                <w:szCs w:val="28"/>
              </w:rPr>
            </w:pPr>
          </w:p>
        </w:tc>
        <w:tc>
          <w:tcPr>
            <w:tcW w:w="291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 w:hAnsi="仿宋" w:eastAsia="仿宋" w:cs="仿宋"/>
                <w:sz w:val="28"/>
                <w:szCs w:val="28"/>
              </w:rPr>
            </w:pPr>
          </w:p>
        </w:tc>
        <w:tc>
          <w:tcPr>
            <w:tcW w:w="353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000000"/>
                <w:sz w:val="28"/>
                <w:szCs w:val="28"/>
              </w:rPr>
            </w:pPr>
            <w:r>
              <w:rPr>
                <w:rFonts w:hint="eastAsia" w:ascii="仿宋" w:hAnsi="仿宋" w:eastAsia="仿宋"/>
                <w:color w:val="000000"/>
                <w:sz w:val="28"/>
                <w:szCs w:val="28"/>
              </w:rPr>
              <w:t>承载能力</w:t>
            </w:r>
          </w:p>
        </w:tc>
        <w:tc>
          <w:tcPr>
            <w:tcW w:w="35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000000"/>
                <w:sz w:val="28"/>
                <w:szCs w:val="28"/>
              </w:rPr>
            </w:pPr>
            <w:r>
              <w:rPr>
                <w:rFonts w:hint="eastAsia" w:ascii="仿宋" w:hAnsi="仿宋" w:eastAsia="仿宋"/>
                <w:color w:val="000000"/>
                <w:sz w:val="28"/>
                <w:szCs w:val="28"/>
              </w:rPr>
              <w:t>GB/T 23858-2009</w:t>
            </w:r>
          </w:p>
        </w:tc>
      </w:tr>
    </w:tbl>
    <w:p>
      <w:pPr>
        <w:spacing w:line="300" w:lineRule="auto"/>
        <w:rPr>
          <w:rFonts w:ascii="仿宋" w:hAnsi="仿宋" w:eastAsia="仿宋" w:cs="仿宋"/>
          <w:sz w:val="28"/>
          <w:szCs w:val="28"/>
        </w:rPr>
      </w:pPr>
    </w:p>
    <w:p>
      <w:pPr>
        <w:widowControl/>
        <w:ind w:left="-199" w:leftChars="-95" w:firstLine="260" w:firstLineChars="100"/>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注：凡是注日期的文件，其随后所有的修改单（不包括勘误的内容）或修订版不适用于本细则。凡是不注日期的文件，其最新版本适用于本细则。</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3 判定规则</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3.1依据标准</w:t>
      </w:r>
    </w:p>
    <w:p>
      <w:pPr>
        <w:widowControl/>
        <w:ind w:firstLine="465"/>
        <w:jc w:val="left"/>
        <w:rPr>
          <w:rFonts w:ascii="仿宋" w:hAnsi="仿宋" w:eastAsia="仿宋"/>
          <w:color w:val="000000"/>
          <w:sz w:val="28"/>
          <w:szCs w:val="28"/>
        </w:rPr>
      </w:pPr>
      <w:r>
        <w:rPr>
          <w:rFonts w:hint="eastAsia" w:ascii="仿宋" w:hAnsi="仿宋" w:eastAsia="仿宋"/>
          <w:color w:val="000000"/>
          <w:sz w:val="28"/>
          <w:szCs w:val="28"/>
        </w:rPr>
        <w:t>GB/T 23858-2009  检查井盖</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相关的法律、行政法规、部门规章、规范性文件</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    现行有效的行业标准、企业标准、团体标准、地方标准及产品明示质量要求</w:t>
      </w:r>
    </w:p>
    <w:p>
      <w:pPr>
        <w:widowControl/>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3.2判定原则</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经检验，检验项目全部合格，判定为被抽查产品合格；检验项目中任一项或一项以上不合格，判定为被抽查产品不合格。</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若被检产品明示的质量要求高于本细则中检验项目依据的标准要求时，应按被检产品明示的质量要求判定。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若被检产品明示的质量要求低于本细则中检验项目依据的强制性标准要求时，应按照强制性标准要求判定。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若被检产品明示的质量要求低于或包含本细则中检验项目依据的推荐性标准要求时，应以被检产品明示的质量要求判定。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若被检产品明示的质量要求缺少本细则中检验项目依据的强制性标准要求时，应按照强制性标准要求判定。</w:t>
      </w:r>
    </w:p>
    <w:p>
      <w:pPr>
        <w:widowControl/>
        <w:ind w:firstLine="465"/>
        <w:jc w:val="left"/>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若被检产品明示的质量要求缺少本细则中检验项目依据的推荐性标准要求时，该项目不参与判定。</w:t>
      </w:r>
    </w:p>
    <w:p>
      <w:pPr>
        <w:widowControl/>
        <w:ind w:firstLine="465"/>
        <w:jc w:val="left"/>
        <w:rPr>
          <w:rFonts w:ascii="仿宋" w:hAnsi="仿宋" w:eastAsia="仿宋" w:cs="仿宋"/>
          <w:color w:val="000000"/>
          <w:spacing w:val="-1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zM2FjNmZlMDVlYzI3NTE0NjBjZmM3NmY4MjA1ZjUifQ=="/>
  </w:docVars>
  <w:rsids>
    <w:rsidRoot w:val="00DC0F2E"/>
    <w:rsid w:val="00014D9B"/>
    <w:rsid w:val="00017C84"/>
    <w:rsid w:val="00030AE9"/>
    <w:rsid w:val="000974EE"/>
    <w:rsid w:val="000C5367"/>
    <w:rsid w:val="000D7874"/>
    <w:rsid w:val="000D7B97"/>
    <w:rsid w:val="000F499B"/>
    <w:rsid w:val="00137782"/>
    <w:rsid w:val="00150703"/>
    <w:rsid w:val="001641F9"/>
    <w:rsid w:val="00172146"/>
    <w:rsid w:val="00177E0B"/>
    <w:rsid w:val="00180380"/>
    <w:rsid w:val="001B3260"/>
    <w:rsid w:val="001D01F5"/>
    <w:rsid w:val="001E03A1"/>
    <w:rsid w:val="002068D8"/>
    <w:rsid w:val="00206B7D"/>
    <w:rsid w:val="00222034"/>
    <w:rsid w:val="00253C17"/>
    <w:rsid w:val="002803B7"/>
    <w:rsid w:val="0028351A"/>
    <w:rsid w:val="002B7C84"/>
    <w:rsid w:val="002F6037"/>
    <w:rsid w:val="0037194D"/>
    <w:rsid w:val="00372506"/>
    <w:rsid w:val="00383974"/>
    <w:rsid w:val="003876F2"/>
    <w:rsid w:val="00390D80"/>
    <w:rsid w:val="003B2924"/>
    <w:rsid w:val="00406033"/>
    <w:rsid w:val="00415040"/>
    <w:rsid w:val="00422544"/>
    <w:rsid w:val="0042777F"/>
    <w:rsid w:val="00446EE1"/>
    <w:rsid w:val="00452094"/>
    <w:rsid w:val="0049505F"/>
    <w:rsid w:val="004D0E0A"/>
    <w:rsid w:val="004D71FD"/>
    <w:rsid w:val="005064CE"/>
    <w:rsid w:val="00523769"/>
    <w:rsid w:val="00535C6C"/>
    <w:rsid w:val="00553C0F"/>
    <w:rsid w:val="0056136D"/>
    <w:rsid w:val="0057053F"/>
    <w:rsid w:val="00574722"/>
    <w:rsid w:val="005A4564"/>
    <w:rsid w:val="005B70FF"/>
    <w:rsid w:val="005C77CB"/>
    <w:rsid w:val="005D32B0"/>
    <w:rsid w:val="005D6B26"/>
    <w:rsid w:val="005E396A"/>
    <w:rsid w:val="005E72CD"/>
    <w:rsid w:val="006035EF"/>
    <w:rsid w:val="006334E1"/>
    <w:rsid w:val="00634ECF"/>
    <w:rsid w:val="00640CAC"/>
    <w:rsid w:val="006561AE"/>
    <w:rsid w:val="006622E0"/>
    <w:rsid w:val="006624E8"/>
    <w:rsid w:val="00675DB1"/>
    <w:rsid w:val="006762D0"/>
    <w:rsid w:val="006A1146"/>
    <w:rsid w:val="006A2CDE"/>
    <w:rsid w:val="006B7FC4"/>
    <w:rsid w:val="006C7C7A"/>
    <w:rsid w:val="006D3660"/>
    <w:rsid w:val="00704368"/>
    <w:rsid w:val="00711B5C"/>
    <w:rsid w:val="0073754B"/>
    <w:rsid w:val="00744839"/>
    <w:rsid w:val="007775CB"/>
    <w:rsid w:val="007B43C4"/>
    <w:rsid w:val="007D3590"/>
    <w:rsid w:val="007D6750"/>
    <w:rsid w:val="008014E2"/>
    <w:rsid w:val="00812206"/>
    <w:rsid w:val="008660D2"/>
    <w:rsid w:val="008724BB"/>
    <w:rsid w:val="008C0C08"/>
    <w:rsid w:val="008C253C"/>
    <w:rsid w:val="008D3DED"/>
    <w:rsid w:val="008F4369"/>
    <w:rsid w:val="00913A26"/>
    <w:rsid w:val="00915CA3"/>
    <w:rsid w:val="00954D8A"/>
    <w:rsid w:val="00977C23"/>
    <w:rsid w:val="00997F84"/>
    <w:rsid w:val="009A6C8E"/>
    <w:rsid w:val="009E4B0F"/>
    <w:rsid w:val="009F0636"/>
    <w:rsid w:val="00A05CFA"/>
    <w:rsid w:val="00A1407C"/>
    <w:rsid w:val="00A22D86"/>
    <w:rsid w:val="00A233CA"/>
    <w:rsid w:val="00A33429"/>
    <w:rsid w:val="00A37D62"/>
    <w:rsid w:val="00A51FC9"/>
    <w:rsid w:val="00A54937"/>
    <w:rsid w:val="00A8059A"/>
    <w:rsid w:val="00A96E05"/>
    <w:rsid w:val="00A97D21"/>
    <w:rsid w:val="00AB704F"/>
    <w:rsid w:val="00AD7EF1"/>
    <w:rsid w:val="00AF1713"/>
    <w:rsid w:val="00AF423E"/>
    <w:rsid w:val="00B22458"/>
    <w:rsid w:val="00B2498A"/>
    <w:rsid w:val="00B53407"/>
    <w:rsid w:val="00B575DD"/>
    <w:rsid w:val="00B96D64"/>
    <w:rsid w:val="00C02A04"/>
    <w:rsid w:val="00C50847"/>
    <w:rsid w:val="00C734B8"/>
    <w:rsid w:val="00C85642"/>
    <w:rsid w:val="00C869EC"/>
    <w:rsid w:val="00CC2FE7"/>
    <w:rsid w:val="00CE6C08"/>
    <w:rsid w:val="00D35BC7"/>
    <w:rsid w:val="00D57E39"/>
    <w:rsid w:val="00D85F10"/>
    <w:rsid w:val="00DA2D57"/>
    <w:rsid w:val="00DB78C7"/>
    <w:rsid w:val="00DB7A65"/>
    <w:rsid w:val="00DC0F2E"/>
    <w:rsid w:val="00DC2EB3"/>
    <w:rsid w:val="00DD7184"/>
    <w:rsid w:val="00E4221F"/>
    <w:rsid w:val="00E677DD"/>
    <w:rsid w:val="00EA26C4"/>
    <w:rsid w:val="00EA7F17"/>
    <w:rsid w:val="00EC3A27"/>
    <w:rsid w:val="00EE7E64"/>
    <w:rsid w:val="00F01AB6"/>
    <w:rsid w:val="00F052B1"/>
    <w:rsid w:val="00F24ED1"/>
    <w:rsid w:val="00F85195"/>
    <w:rsid w:val="01484FA4"/>
    <w:rsid w:val="01BB7564"/>
    <w:rsid w:val="22014F16"/>
    <w:rsid w:val="26DA3479"/>
    <w:rsid w:val="3C4562A2"/>
    <w:rsid w:val="3F076B58"/>
    <w:rsid w:val="59867E20"/>
    <w:rsid w:val="5DF54136"/>
    <w:rsid w:val="5F8B3D1C"/>
    <w:rsid w:val="6E841DDA"/>
    <w:rsid w:val="756C0D83"/>
    <w:rsid w:val="7D9E3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9"/>
    <w:qFormat/>
    <w:uiPriority w:val="0"/>
    <w:pPr>
      <w:spacing w:after="120"/>
      <w:ind w:left="420" w:leftChars="200"/>
    </w:pPr>
    <w:rPr>
      <w:sz w:val="16"/>
      <w:szCs w:val="16"/>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character" w:customStyle="1" w:styleId="9">
    <w:name w:val="正文文本缩进 3 Char"/>
    <w:basedOn w:val="6"/>
    <w:link w:val="4"/>
    <w:qFormat/>
    <w:uiPriority w:val="0"/>
    <w:rPr>
      <w:kern w:val="2"/>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449</Words>
  <Characters>496</Characters>
  <Lines>3</Lines>
  <Paragraphs>1</Paragraphs>
  <TotalTime>0</TotalTime>
  <ScaleCrop>false</ScaleCrop>
  <LinksUpToDate>false</LinksUpToDate>
  <CharactersWithSpaces>508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2022-05-24T02:20:00Z</dcterms:created>
  <dc:creator>Administrator</dc:creator>
  <cp:lastModifiedBy>孙彬乔</cp:lastModifiedBy>
  <dcterms:modified xsi:type="dcterms:W3CDTF">2022-08-15T06:49:16Z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F1AF568102E54FBEAE706B7A7318797C</vt:lpwstr>
  </property>
</Properties>
</file>