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0"/>
        </w:tabs>
        <w:autoSpaceDE w:val="0"/>
        <w:autoSpaceDN w:val="0"/>
        <w:adjustRightInd w:val="0"/>
        <w:spacing w:line="360" w:lineRule="auto"/>
        <w:jc w:val="center"/>
        <w:outlineLvl w:val="1"/>
        <w:rPr>
          <w:rFonts w:ascii="宋体" w:hAnsi="宋体" w:cs="宋体"/>
          <w:b/>
          <w:bCs/>
          <w:kern w:val="44"/>
          <w:sz w:val="28"/>
          <w:szCs w:val="28"/>
          <w:highlight w:val="none"/>
        </w:rPr>
      </w:pPr>
      <w:r>
        <w:rPr>
          <w:rFonts w:hint="eastAsia" w:ascii="宋体" w:hAnsi="宋体" w:cs="宋体"/>
          <w:b/>
          <w:bCs/>
          <w:kern w:val="44"/>
          <w:sz w:val="28"/>
          <w:szCs w:val="28"/>
          <w:highlight w:val="none"/>
          <w:lang w:eastAsia="zh-CN"/>
        </w:rPr>
        <w:t>吉林省一体化在线监管平台长春独立部署暨长春市一体化在线监管平台项目</w:t>
      </w:r>
      <w:r>
        <w:rPr>
          <w:rFonts w:hint="eastAsia" w:ascii="宋体" w:hAnsi="宋体" w:cs="宋体"/>
          <w:b/>
          <w:bCs/>
          <w:kern w:val="44"/>
          <w:sz w:val="28"/>
          <w:szCs w:val="28"/>
          <w:highlight w:val="none"/>
        </w:rPr>
        <w:t>竞争性磋商公告</w:t>
      </w:r>
    </w:p>
    <w:p>
      <w:pPr>
        <w:rPr>
          <w:rFonts w:ascii="宋体" w:hAnsi="宋体" w:cs="宋体"/>
          <w:sz w:val="24"/>
          <w:highlight w:val="none"/>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u w:val="single"/>
          <w:lang w:eastAsia="zh-CN"/>
        </w:rPr>
        <w:t>吉林省一体化在线监管平台长春独立部署暨长春市一体化在线监管平台项目</w:t>
      </w:r>
      <w:r>
        <w:rPr>
          <w:rFonts w:hint="eastAsia" w:ascii="宋体" w:hAnsi="宋体" w:cs="宋体"/>
          <w:sz w:val="24"/>
          <w:szCs w:val="24"/>
          <w:highlight w:val="none"/>
        </w:rPr>
        <w:t>的潜在供应商应在</w:t>
      </w:r>
      <w:r>
        <w:rPr>
          <w:rFonts w:hint="eastAsia" w:ascii="宋体" w:hAnsi="宋体" w:cs="宋体"/>
          <w:sz w:val="24"/>
          <w:highlight w:val="none"/>
        </w:rPr>
        <w:t>在</w:t>
      </w:r>
      <w:r>
        <w:rPr>
          <w:rFonts w:hint="eastAsia" w:ascii="宋体" w:hAnsi="宋体" w:cs="宋体"/>
          <w:sz w:val="24"/>
          <w:highlight w:val="none"/>
          <w:lang w:val="zh-CN"/>
        </w:rPr>
        <w:t>“政采云”平台（https://www.zcygov.cn/）获取（下载）</w:t>
      </w:r>
      <w:r>
        <w:rPr>
          <w:rFonts w:hint="eastAsia" w:ascii="宋体" w:hAnsi="宋体" w:cs="宋体"/>
          <w:sz w:val="24"/>
          <w:szCs w:val="24"/>
          <w:highlight w:val="none"/>
        </w:rPr>
        <w:t>竞争性磋商文件，并于</w:t>
      </w:r>
      <w:r>
        <w:rPr>
          <w:rFonts w:hint="eastAsia" w:ascii="宋体" w:hAnsi="宋体" w:cs="宋体"/>
          <w:bCs/>
          <w:sz w:val="24"/>
          <w:szCs w:val="24"/>
          <w:highlight w:val="none"/>
          <w:u w:val="single"/>
        </w:rPr>
        <w:t>202</w:t>
      </w:r>
      <w:r>
        <w:rPr>
          <w:rFonts w:hint="eastAsia" w:ascii="宋体" w:hAnsi="宋体" w:cs="宋体"/>
          <w:bCs/>
          <w:sz w:val="24"/>
          <w:szCs w:val="24"/>
          <w:highlight w:val="none"/>
          <w:u w:val="single"/>
          <w:lang w:val="en-US" w:eastAsia="zh-CN"/>
        </w:rPr>
        <w:t>4</w:t>
      </w:r>
      <w:r>
        <w:rPr>
          <w:rFonts w:hint="eastAsia" w:ascii="宋体" w:hAnsi="宋体" w:cs="宋体"/>
          <w:bCs/>
          <w:sz w:val="24"/>
          <w:szCs w:val="24"/>
          <w:highlight w:val="none"/>
          <w:u w:val="single"/>
        </w:rPr>
        <w:t>年</w:t>
      </w:r>
      <w:r>
        <w:rPr>
          <w:rFonts w:hint="eastAsia" w:ascii="宋体" w:hAnsi="宋体" w:cs="宋体"/>
          <w:bCs/>
          <w:sz w:val="24"/>
          <w:szCs w:val="24"/>
          <w:highlight w:val="none"/>
          <w:u w:val="single"/>
          <w:lang w:val="en-US" w:eastAsia="zh-CN"/>
        </w:rPr>
        <w:t>1</w:t>
      </w:r>
      <w:r>
        <w:rPr>
          <w:rFonts w:hint="eastAsia" w:ascii="宋体" w:hAnsi="宋体" w:cs="宋体"/>
          <w:bCs/>
          <w:sz w:val="24"/>
          <w:szCs w:val="24"/>
          <w:highlight w:val="none"/>
          <w:u w:val="single"/>
        </w:rPr>
        <w:t>月</w:t>
      </w:r>
      <w:r>
        <w:rPr>
          <w:rFonts w:hint="eastAsia" w:ascii="宋体" w:hAnsi="宋体" w:cs="宋体"/>
          <w:bCs/>
          <w:sz w:val="24"/>
          <w:szCs w:val="24"/>
          <w:highlight w:val="none"/>
          <w:u w:val="single"/>
          <w:lang w:val="en-US" w:eastAsia="zh-CN"/>
        </w:rPr>
        <w:t>4</w:t>
      </w:r>
      <w:r>
        <w:rPr>
          <w:rFonts w:hint="eastAsia" w:ascii="宋体" w:hAnsi="宋体" w:cs="宋体"/>
          <w:bCs/>
          <w:sz w:val="24"/>
          <w:szCs w:val="24"/>
          <w:highlight w:val="none"/>
          <w:u w:val="single"/>
        </w:rPr>
        <w:t>日</w:t>
      </w:r>
      <w:r>
        <w:rPr>
          <w:rFonts w:hint="eastAsia" w:ascii="宋体" w:hAnsi="宋体" w:cs="宋体"/>
          <w:bCs/>
          <w:sz w:val="24"/>
          <w:szCs w:val="24"/>
          <w:highlight w:val="none"/>
          <w:u w:val="single"/>
          <w:lang w:val="en-US" w:eastAsia="zh-CN"/>
        </w:rPr>
        <w:t>9</w:t>
      </w:r>
      <w:r>
        <w:rPr>
          <w:rFonts w:hint="eastAsia" w:ascii="宋体" w:hAnsi="宋体" w:cs="宋体"/>
          <w:bCs/>
          <w:sz w:val="24"/>
          <w:szCs w:val="24"/>
          <w:highlight w:val="none"/>
          <w:u w:val="single"/>
        </w:rPr>
        <w:t>时</w:t>
      </w:r>
      <w:r>
        <w:rPr>
          <w:rFonts w:hint="eastAsia" w:ascii="宋体" w:hAnsi="宋体" w:cs="宋体"/>
          <w:bCs/>
          <w:sz w:val="24"/>
          <w:szCs w:val="24"/>
          <w:highlight w:val="none"/>
          <w:u w:val="single"/>
          <w:lang w:val="en-US" w:eastAsia="zh-CN"/>
        </w:rPr>
        <w:t>30</w:t>
      </w:r>
      <w:r>
        <w:rPr>
          <w:rFonts w:hint="eastAsia" w:ascii="宋体" w:hAnsi="宋体" w:cs="宋体"/>
          <w:bCs/>
          <w:sz w:val="24"/>
          <w:szCs w:val="24"/>
          <w:highlight w:val="none"/>
          <w:u w:val="single"/>
        </w:rPr>
        <w:t>分</w:t>
      </w:r>
      <w:r>
        <w:rPr>
          <w:rFonts w:hint="eastAsia" w:ascii="宋体" w:hAnsi="宋体" w:cs="宋体"/>
          <w:bCs/>
          <w:sz w:val="24"/>
          <w:szCs w:val="24"/>
          <w:highlight w:val="none"/>
        </w:rPr>
        <w:t>（北京时间）前递交响应文件</w:t>
      </w:r>
      <w:r>
        <w:rPr>
          <w:rFonts w:hint="eastAsia" w:ascii="宋体" w:hAnsi="宋体" w:cs="宋体"/>
          <w:sz w:val="24"/>
          <w:szCs w:val="24"/>
          <w:highlight w:val="none"/>
        </w:rPr>
        <w:t>。</w:t>
      </w:r>
    </w:p>
    <w:p>
      <w:pPr>
        <w:spacing w:line="360" w:lineRule="auto"/>
        <w:rPr>
          <w:rFonts w:ascii="宋体" w:hAnsi="宋体" w:cs="宋体"/>
          <w:b/>
          <w:bCs/>
          <w:sz w:val="24"/>
          <w:szCs w:val="24"/>
          <w:highlight w:val="none"/>
        </w:rPr>
      </w:pPr>
      <w:r>
        <w:rPr>
          <w:rFonts w:hint="eastAsia" w:ascii="宋体" w:hAnsi="宋体" w:cs="宋体"/>
          <w:b/>
          <w:bCs/>
          <w:sz w:val="24"/>
          <w:szCs w:val="24"/>
          <w:highlight w:val="none"/>
        </w:rPr>
        <w:t>一、项目基本情况</w:t>
      </w:r>
    </w:p>
    <w:p>
      <w:pPr>
        <w:spacing w:line="360" w:lineRule="auto"/>
        <w:ind w:firstLine="480" w:firstLineChars="200"/>
        <w:rPr>
          <w:rFonts w:hint="default" w:ascii="宋体" w:hAnsi="宋体" w:eastAsia="宋体" w:cs="宋体"/>
          <w:sz w:val="24"/>
          <w:szCs w:val="24"/>
          <w:highlight w:val="none"/>
          <w:u w:val="single"/>
          <w:lang w:val="en-US" w:eastAsia="zh-CN"/>
        </w:rPr>
      </w:pPr>
      <w:r>
        <w:rPr>
          <w:rFonts w:hint="eastAsia" w:ascii="宋体" w:hAnsi="宋体" w:cs="宋体"/>
          <w:sz w:val="24"/>
          <w:szCs w:val="24"/>
          <w:highlight w:val="none"/>
          <w:lang w:val="en-US" w:eastAsia="zh-CN"/>
        </w:rPr>
        <w:t>采购</w:t>
      </w:r>
      <w:r>
        <w:rPr>
          <w:rFonts w:hint="eastAsia" w:ascii="宋体" w:hAnsi="宋体" w:cs="宋体"/>
          <w:sz w:val="24"/>
          <w:szCs w:val="24"/>
          <w:highlight w:val="none"/>
        </w:rPr>
        <w:t>项目编号：</w:t>
      </w:r>
      <w:r>
        <w:rPr>
          <w:rFonts w:hint="eastAsia" w:ascii="宋体" w:hAnsi="宋体" w:cs="宋体"/>
          <w:sz w:val="24"/>
          <w:szCs w:val="24"/>
          <w:highlight w:val="none"/>
          <w:lang w:eastAsia="zh-CN"/>
        </w:rPr>
        <w:t>JM-2023-12-01449</w:t>
      </w:r>
      <w:r>
        <w:rPr>
          <w:rFonts w:hint="eastAsia" w:ascii="宋体" w:hAnsi="宋体" w:cs="宋体"/>
          <w:sz w:val="24"/>
          <w:szCs w:val="24"/>
          <w:highlight w:val="none"/>
          <w:lang w:val="en-US"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cs="宋体"/>
          <w:sz w:val="24"/>
          <w:szCs w:val="24"/>
          <w:highlight w:val="none"/>
        </w:rPr>
        <w:t>项目名称：</w:t>
      </w:r>
      <w:r>
        <w:rPr>
          <w:rFonts w:hint="eastAsia" w:ascii="宋体" w:hAnsi="宋体" w:cs="宋体"/>
          <w:sz w:val="24"/>
          <w:szCs w:val="24"/>
          <w:highlight w:val="none"/>
          <w:lang w:eastAsia="zh-CN"/>
        </w:rPr>
        <w:t>吉林省一体化在线监管平台长春独立部署暨长春市一体化在线监管平台项目；</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cs="宋体"/>
          <w:sz w:val="24"/>
          <w:szCs w:val="24"/>
          <w:highlight w:val="none"/>
        </w:rPr>
        <w:t>采购方式：竞争性磋商</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cs="宋体"/>
          <w:color w:val="000000" w:themeColor="text1"/>
          <w:sz w:val="24"/>
          <w:szCs w:val="24"/>
          <w:highlight w:val="none"/>
          <w:lang w:eastAsia="zh-CN"/>
          <w14:textFill>
            <w14:solidFill>
              <w14:schemeClr w14:val="tx1"/>
            </w14:solidFill>
          </w14:textFill>
        </w:rPr>
      </w:pPr>
      <w:r>
        <w:rPr>
          <w:rFonts w:hint="eastAsia" w:ascii="宋体" w:hAnsi="宋体" w:cs="宋体"/>
          <w:sz w:val="24"/>
          <w:szCs w:val="24"/>
          <w:highlight w:val="none"/>
        </w:rPr>
        <w:t>预算金</w:t>
      </w:r>
      <w:r>
        <w:rPr>
          <w:rFonts w:hint="eastAsia" w:ascii="宋体" w:hAnsi="宋体" w:cs="宋体"/>
          <w:color w:val="000000" w:themeColor="text1"/>
          <w:sz w:val="24"/>
          <w:szCs w:val="24"/>
          <w:highlight w:val="none"/>
          <w14:textFill>
            <w14:solidFill>
              <w14:schemeClr w14:val="tx1"/>
            </w14:solidFill>
          </w14:textFill>
        </w:rPr>
        <w:t>额：</w:t>
      </w:r>
      <w:r>
        <w:rPr>
          <w:rFonts w:hint="eastAsia" w:ascii="宋体" w:hAnsi="宋体" w:cs="宋体"/>
          <w:color w:val="000000" w:themeColor="text1"/>
          <w:sz w:val="24"/>
          <w:szCs w:val="24"/>
          <w:highlight w:val="none"/>
          <w:lang w:val="en-US" w:eastAsia="zh-CN"/>
          <w14:textFill>
            <w14:solidFill>
              <w14:schemeClr w14:val="tx1"/>
            </w14:solidFill>
          </w14:textFill>
        </w:rPr>
        <w:t>1522500</w:t>
      </w:r>
      <w:r>
        <w:rPr>
          <w:rFonts w:hint="eastAsia" w:ascii="宋体" w:hAnsi="宋体" w:cs="宋体"/>
          <w:color w:val="000000" w:themeColor="text1"/>
          <w:sz w:val="24"/>
          <w:szCs w:val="24"/>
          <w:highlight w:val="none"/>
          <w14:textFill>
            <w14:solidFill>
              <w14:schemeClr w14:val="tx1"/>
            </w14:solidFill>
          </w14:textFill>
        </w:rPr>
        <w:t>元</w:t>
      </w:r>
      <w:r>
        <w:rPr>
          <w:rFonts w:hint="eastAsia" w:ascii="宋体" w:hAnsi="宋体" w:cs="宋体"/>
          <w:color w:val="000000" w:themeColor="text1"/>
          <w:sz w:val="24"/>
          <w:szCs w:val="24"/>
          <w:highlight w:val="none"/>
          <w:lang w:eastAsia="zh-CN"/>
          <w14:textFill>
            <w14:solidFill>
              <w14:schemeClr w14:val="tx1"/>
            </w14:solidFill>
          </w14:textFill>
        </w:rPr>
        <w:t>；</w:t>
      </w:r>
    </w:p>
    <w:p>
      <w:pPr>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cs="宋体"/>
          <w:sz w:val="24"/>
          <w:szCs w:val="24"/>
          <w:highlight w:val="none"/>
        </w:rPr>
        <w:t>采购需求</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按照2019年初国务院要求“在市场监管领域全面推行“双随机、一公开”监管，推行部门联合“双随机、一公开”监管，实现市场监管领域全覆盖”的工作目标，经省市场监管厅的同意，市政府主管领导批准，在长春市进行省双随机平台独立部署开发。</w:t>
      </w:r>
      <w:r>
        <w:rPr>
          <w:rFonts w:hint="eastAsia" w:ascii="宋体" w:hAnsi="宋体" w:cs="宋体"/>
          <w:color w:val="000000"/>
          <w:sz w:val="24"/>
          <w:highlight w:val="none"/>
          <w:lang w:val="zh-CN"/>
        </w:rPr>
        <w:t>具体内容</w:t>
      </w:r>
      <w:r>
        <w:rPr>
          <w:rFonts w:hint="eastAsia" w:ascii="宋体" w:hAnsi="宋体" w:cs="宋体"/>
          <w:color w:val="000000"/>
          <w:sz w:val="24"/>
          <w:highlight w:val="none"/>
          <w:lang w:val="en-US" w:eastAsia="zh-CN"/>
        </w:rPr>
        <w:t>详见第五章《采购需求</w:t>
      </w:r>
      <w:r>
        <w:rPr>
          <w:rFonts w:hint="eastAsia" w:ascii="宋体" w:hAnsi="宋体" w:eastAsia="宋体" w:cs="宋体"/>
          <w:sz w:val="24"/>
          <w:szCs w:val="24"/>
          <w:highlight w:val="none"/>
        </w:rPr>
        <w:t>及技术规格要求</w:t>
      </w:r>
      <w:r>
        <w:rPr>
          <w:rFonts w:hint="eastAsia" w:ascii="宋体" w:hAnsi="宋体" w:cs="宋体"/>
          <w:color w:val="000000"/>
          <w:sz w:val="24"/>
          <w:highlight w:val="none"/>
          <w:lang w:val="en-US" w:eastAsia="zh-CN"/>
        </w:rPr>
        <w:t>》。</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合同履约期限：</w:t>
      </w:r>
      <w:r>
        <w:rPr>
          <w:rFonts w:hint="eastAsia" w:ascii="宋体" w:hAnsi="宋体" w:cs="宋体"/>
          <w:sz w:val="24"/>
          <w:szCs w:val="24"/>
          <w:highlight w:val="none"/>
          <w:lang w:val="en-US" w:eastAsia="zh-CN"/>
        </w:rPr>
        <w:t>合同签订之日起150日内完成系统建设工作</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cs="宋体"/>
          <w:sz w:val="24"/>
          <w:szCs w:val="24"/>
          <w:highlight w:val="none"/>
        </w:rPr>
        <w:t>本项目不接受联合体投标</w:t>
      </w:r>
      <w:r>
        <w:rPr>
          <w:rFonts w:hint="eastAsia" w:ascii="宋体" w:hAnsi="宋体" w:cs="宋体"/>
          <w:sz w:val="24"/>
          <w:szCs w:val="24"/>
          <w:highlight w:val="none"/>
          <w:lang w:eastAsia="zh-CN"/>
        </w:rPr>
        <w:t>；</w:t>
      </w:r>
    </w:p>
    <w:p>
      <w:pPr>
        <w:spacing w:line="360" w:lineRule="auto"/>
        <w:rPr>
          <w:rFonts w:ascii="宋体" w:hAnsi="宋体" w:cs="宋体"/>
          <w:b/>
          <w:bCs/>
          <w:sz w:val="24"/>
          <w:szCs w:val="24"/>
          <w:highlight w:val="none"/>
        </w:rPr>
      </w:pPr>
      <w:r>
        <w:rPr>
          <w:rFonts w:hint="eastAsia" w:ascii="宋体" w:hAnsi="宋体" w:cs="宋体"/>
          <w:b/>
          <w:bCs/>
          <w:sz w:val="24"/>
          <w:szCs w:val="24"/>
          <w:highlight w:val="none"/>
        </w:rPr>
        <w:t>二、申请人的资格要求：</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cs="宋体"/>
          <w:sz w:val="24"/>
          <w:szCs w:val="24"/>
          <w:highlight w:val="none"/>
        </w:rPr>
        <w:t>1、满足《中华人民共和国政府采购法》第二十二条规定</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rPr>
        <w:t>2、落实政府采购政策需满足的资格要求：</w:t>
      </w:r>
      <w:r>
        <w:rPr>
          <w:rFonts w:hint="eastAsia" w:ascii="宋体" w:hAnsi="宋体" w:cs="宋体"/>
          <w:sz w:val="24"/>
          <w:szCs w:val="24"/>
          <w:highlight w:val="none"/>
          <w:lang w:eastAsia="zh-CN"/>
        </w:rPr>
        <w:t>本项目为专门面向中小企业采购项目,供应商应为中小微企业或监狱企业或残疾人福利性单位。</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eastAsia="zh-CN"/>
        </w:rPr>
        <w:t>（1）供应商提供的服务应符合《政府采购促进中小企业发展管理办法》(财库〔2020〕46号) 第四条规定的情形，且应当提供《政府采购促进中小企业发展管理办法》(财库〔2020〕46号)规定的《中小企业声明函》，格式见竞争性磋商文件相关附件。</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eastAsia="zh-CN"/>
        </w:rPr>
        <w:t>（2）供应商为监狱企业的视同小型和微型企业，可不提供上述（1）材料，但应当提供由省级以上监狱管理局、戒毒管理局(含新疆生产建设兵团)出具的属于监狱企业的证明文件。</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eastAsia="zh-CN"/>
        </w:rPr>
        <w:t>（3）供应商为残疾人福利性单位的视同小型和微型企业，可不提供上述（1）材料，但应当提供《残疾人福利性单位声明函》，格式见竞争性磋商文件相关附件。</w:t>
      </w:r>
    </w:p>
    <w:p>
      <w:pPr>
        <w:spacing w:line="360" w:lineRule="auto"/>
        <w:ind w:firstLine="480" w:firstLineChars="200"/>
        <w:rPr>
          <w:rFonts w:hint="eastAsia" w:ascii="宋体" w:hAnsi="宋体" w:eastAsia="宋体" w:cs="宋体"/>
          <w:sz w:val="24"/>
          <w:szCs w:val="24"/>
          <w:highlight w:val="none"/>
          <w:u w:val="single"/>
          <w:lang w:eastAsia="zh-CN"/>
        </w:rPr>
      </w:pPr>
      <w:r>
        <w:rPr>
          <w:rFonts w:hint="eastAsia" w:ascii="宋体" w:hAnsi="宋体" w:cs="宋体"/>
          <w:sz w:val="24"/>
          <w:szCs w:val="24"/>
          <w:highlight w:val="none"/>
          <w:lang w:eastAsia="zh-CN"/>
        </w:rPr>
        <w:t>（4）本项目采购标的对应的中小企业划分标准所属行业为</w:t>
      </w:r>
      <w:r>
        <w:rPr>
          <w:rFonts w:hint="eastAsia" w:ascii="宋体" w:hAnsi="宋体" w:cs="宋体"/>
          <w:sz w:val="24"/>
          <w:szCs w:val="24"/>
          <w:highlight w:val="none"/>
          <w:lang w:val="en-US" w:eastAsia="zh-CN"/>
        </w:rPr>
        <w:t>软件和信息技术服务业</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rPr>
        <w:t>3、本项目的特定资格要求：</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（1）在中华人民共和国境内注册，能够独立承担民事责任的法人或其他组织形式，具备有效的营业执照，并在人员、设备、资金等方面具有相应的能力</w:t>
      </w:r>
      <w:r>
        <w:rPr>
          <w:rFonts w:hint="eastAsia" w:ascii="宋体" w:hAnsi="宋体" w:eastAsia="宋体" w:cs="宋体"/>
          <w:sz w:val="24"/>
          <w:szCs w:val="24"/>
          <w:highlight w:val="none"/>
          <w:lang w:eastAsia="zh-CN"/>
        </w:rPr>
        <w:t>；</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（2）具有良好的商业信誉和健全的财务会计制度，提供财务状况良好资格条件承诺函；</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（3）供应商具有</w:t>
      </w:r>
      <w:r>
        <w:rPr>
          <w:rFonts w:hint="eastAsia" w:ascii="宋体" w:hAnsi="宋体" w:cs="宋体"/>
          <w:color w:val="auto"/>
          <w:sz w:val="24"/>
          <w:highlight w:val="none"/>
        </w:rPr>
        <w:t>依法缴纳税收</w:t>
      </w:r>
      <w:r>
        <w:rPr>
          <w:rFonts w:hint="eastAsia" w:ascii="宋体" w:hAnsi="宋体" w:cs="宋体"/>
          <w:color w:val="auto"/>
          <w:sz w:val="24"/>
          <w:highlight w:val="none"/>
          <w:lang w:val="en-US" w:eastAsia="zh-CN"/>
        </w:rPr>
        <w:t>和</w:t>
      </w:r>
      <w:r>
        <w:rPr>
          <w:rFonts w:hint="eastAsia" w:ascii="宋体" w:hAnsi="宋体" w:cs="宋体"/>
          <w:color w:val="auto"/>
          <w:sz w:val="24"/>
          <w:highlight w:val="none"/>
        </w:rPr>
        <w:t>社会保障资金</w:t>
      </w:r>
      <w:r>
        <w:rPr>
          <w:rFonts w:hint="eastAsia" w:ascii="宋体" w:hAnsi="宋体" w:eastAsia="宋体" w:cs="宋体"/>
          <w:kern w:val="2"/>
          <w:sz w:val="24"/>
          <w:szCs w:val="24"/>
          <w:highlight w:val="none"/>
          <w:lang w:val="en-US" w:eastAsia="zh-CN" w:bidi="ar-SA"/>
        </w:rPr>
        <w:t>的良好记录，提供依法缴纳税收和依法缴纳社会保障资金资格条件承诺函；</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（4）不接受被政府列入取消投标资格期限内的企业或个人参加投标。参加政府采购活动前3年内在经营活动中没有重大违法记录。</w:t>
      </w:r>
      <w:r>
        <w:rPr>
          <w:rFonts w:hint="eastAsia" w:ascii="宋体" w:hAnsi="宋体" w:eastAsia="宋体" w:cs="宋体"/>
          <w:sz w:val="24"/>
          <w:szCs w:val="24"/>
          <w:highlight w:val="none"/>
          <w:lang w:val="en-US" w:eastAsia="zh-CN"/>
        </w:rPr>
        <w:t>未被</w:t>
      </w:r>
      <w:r>
        <w:rPr>
          <w:rFonts w:hint="eastAsia" w:ascii="宋体" w:hAnsi="宋体" w:cs="宋体"/>
          <w:sz w:val="24"/>
          <w:szCs w:val="24"/>
          <w:highlight w:val="none"/>
        </w:rPr>
        <w:t>“信用中国”网站（www.creditchina.gov.cn）列入重大税收违法失信主体、政府采购严重违法失信行为记录名单；对在中国执行信息公开网（http://zxgk.court.gov.cn）列入失信被执行人；对在中国政府采购网（www.ccgp.gov.cn）列入政府采购严重违法失信行为记录名单及其他不符合《中华人民共和国政府采购法》第二十二条规定，不得参加政府采购活动</w:t>
      </w:r>
      <w:r>
        <w:rPr>
          <w:rFonts w:hint="eastAsia" w:ascii="宋体" w:hAnsi="宋体" w:cs="宋体"/>
          <w:sz w:val="24"/>
          <w:szCs w:val="24"/>
          <w:highlight w:val="none"/>
          <w:lang w:eastAsia="zh-CN"/>
        </w:rPr>
        <w:t>；</w:t>
      </w:r>
    </w:p>
    <w:p>
      <w:pPr>
        <w:pStyle w:val="23"/>
        <w:spacing w:line="360" w:lineRule="auto"/>
        <w:ind w:firstLine="480" w:firstLineChars="20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三、获取竞争性磋商文件：</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kern w:val="2"/>
          <w:sz w:val="24"/>
          <w:szCs w:val="24"/>
          <w:highlight w:val="none"/>
          <w:lang w:val="zh-CN" w:eastAsia="zh-CN" w:bidi="ar-SA"/>
        </w:rPr>
      </w:pPr>
      <w:bookmarkStart w:id="0" w:name="_Toc28359005"/>
      <w:bookmarkStart w:id="1" w:name="_Toc28359082"/>
      <w:r>
        <w:rPr>
          <w:rFonts w:hint="eastAsia" w:ascii="宋体" w:hAnsi="宋体" w:eastAsia="宋体" w:cs="宋体"/>
          <w:color w:val="auto"/>
          <w:kern w:val="2"/>
          <w:sz w:val="24"/>
          <w:szCs w:val="24"/>
          <w:highlight w:val="none"/>
          <w:lang w:val="en-US" w:eastAsia="zh-CN" w:bidi="ar-SA"/>
        </w:rPr>
        <w:t>时间：2023年</w:t>
      </w:r>
      <w:r>
        <w:rPr>
          <w:rFonts w:hint="eastAsia" w:ascii="宋体" w:hAnsi="宋体" w:cs="宋体"/>
          <w:color w:val="auto"/>
          <w:kern w:val="2"/>
          <w:sz w:val="24"/>
          <w:szCs w:val="24"/>
          <w:highlight w:val="none"/>
          <w:lang w:val="en-US" w:eastAsia="zh-CN" w:bidi="ar-SA"/>
        </w:rPr>
        <w:t>12</w:t>
      </w:r>
      <w:r>
        <w:rPr>
          <w:rFonts w:hint="eastAsia" w:ascii="宋体" w:hAnsi="宋体" w:eastAsia="宋体" w:cs="宋体"/>
          <w:color w:val="auto"/>
          <w:kern w:val="2"/>
          <w:sz w:val="24"/>
          <w:szCs w:val="24"/>
          <w:highlight w:val="none"/>
          <w:lang w:val="en-US" w:eastAsia="zh-CN" w:bidi="ar-SA"/>
        </w:rPr>
        <w:t>月</w:t>
      </w:r>
      <w:r>
        <w:rPr>
          <w:rFonts w:hint="eastAsia" w:ascii="宋体" w:hAnsi="宋体" w:cs="宋体"/>
          <w:color w:val="auto"/>
          <w:kern w:val="2"/>
          <w:sz w:val="24"/>
          <w:szCs w:val="24"/>
          <w:highlight w:val="none"/>
          <w:lang w:val="en-US" w:eastAsia="zh-CN" w:bidi="ar-SA"/>
        </w:rPr>
        <w:t>25</w:t>
      </w:r>
      <w:r>
        <w:rPr>
          <w:rFonts w:hint="eastAsia" w:ascii="宋体" w:hAnsi="宋体" w:eastAsia="宋体" w:cs="宋体"/>
          <w:color w:val="auto"/>
          <w:kern w:val="2"/>
          <w:sz w:val="24"/>
          <w:szCs w:val="24"/>
          <w:highlight w:val="none"/>
          <w:lang w:val="en-US" w:eastAsia="zh-CN" w:bidi="ar-SA"/>
        </w:rPr>
        <w:t>日</w:t>
      </w:r>
      <w:r>
        <w:rPr>
          <w:rFonts w:hint="eastAsia" w:ascii="宋体" w:hAnsi="宋体" w:cs="宋体"/>
          <w:color w:val="auto"/>
          <w:kern w:val="2"/>
          <w:sz w:val="24"/>
          <w:szCs w:val="24"/>
          <w:highlight w:val="none"/>
          <w:lang w:val="en-US" w:eastAsia="zh-CN" w:bidi="ar-SA"/>
        </w:rPr>
        <w:t>0</w:t>
      </w:r>
      <w:r>
        <w:rPr>
          <w:rFonts w:hint="eastAsia" w:ascii="宋体" w:hAnsi="宋体" w:eastAsia="宋体" w:cs="宋体"/>
          <w:color w:val="auto"/>
          <w:kern w:val="2"/>
          <w:sz w:val="24"/>
          <w:szCs w:val="24"/>
          <w:highlight w:val="none"/>
          <w:lang w:val="en-US" w:eastAsia="zh-CN" w:bidi="ar-SA"/>
        </w:rPr>
        <w:t>9时00分至2023年</w:t>
      </w:r>
      <w:r>
        <w:rPr>
          <w:rFonts w:hint="eastAsia" w:ascii="宋体" w:hAnsi="宋体" w:cs="宋体"/>
          <w:color w:val="auto"/>
          <w:kern w:val="2"/>
          <w:sz w:val="24"/>
          <w:szCs w:val="24"/>
          <w:highlight w:val="none"/>
          <w:lang w:val="en-US" w:eastAsia="zh-CN" w:bidi="ar-SA"/>
        </w:rPr>
        <w:t>12</w:t>
      </w:r>
      <w:r>
        <w:rPr>
          <w:rFonts w:hint="eastAsia" w:ascii="宋体" w:hAnsi="宋体" w:eastAsia="宋体" w:cs="宋体"/>
          <w:color w:val="auto"/>
          <w:kern w:val="2"/>
          <w:sz w:val="24"/>
          <w:szCs w:val="24"/>
          <w:highlight w:val="none"/>
          <w:lang w:val="en-US" w:eastAsia="zh-CN" w:bidi="ar-SA"/>
        </w:rPr>
        <w:t>月</w:t>
      </w:r>
      <w:r>
        <w:rPr>
          <w:rFonts w:hint="eastAsia" w:ascii="宋体" w:hAnsi="宋体" w:cs="宋体"/>
          <w:color w:val="auto"/>
          <w:kern w:val="2"/>
          <w:sz w:val="24"/>
          <w:szCs w:val="24"/>
          <w:highlight w:val="none"/>
          <w:lang w:val="en-US" w:eastAsia="zh-CN" w:bidi="ar-SA"/>
        </w:rPr>
        <w:t>29</w:t>
      </w:r>
      <w:r>
        <w:rPr>
          <w:rFonts w:hint="eastAsia" w:ascii="宋体" w:hAnsi="宋体" w:eastAsia="宋体" w:cs="宋体"/>
          <w:color w:val="auto"/>
          <w:kern w:val="2"/>
          <w:sz w:val="24"/>
          <w:szCs w:val="24"/>
          <w:highlight w:val="none"/>
          <w:lang w:val="en-US" w:eastAsia="zh-CN" w:bidi="ar-SA"/>
        </w:rPr>
        <w:t>日16时00分止</w:t>
      </w:r>
    </w:p>
    <w:p>
      <w:pPr>
        <w:spacing w:line="360" w:lineRule="auto"/>
        <w:ind w:firstLine="480" w:firstLineChars="200"/>
        <w:rPr>
          <w:rFonts w:hint="eastAsia" w:ascii="宋体" w:hAnsi="宋体" w:cs="宋体"/>
          <w:color w:val="auto"/>
          <w:sz w:val="24"/>
          <w:highlight w:val="none"/>
        </w:rPr>
      </w:pPr>
      <w:r>
        <w:rPr>
          <w:rFonts w:hint="eastAsia" w:ascii="宋体" w:hAnsi="宋体" w:eastAsia="宋体" w:cs="宋体"/>
          <w:color w:val="auto"/>
          <w:kern w:val="2"/>
          <w:sz w:val="24"/>
          <w:szCs w:val="24"/>
          <w:highlight w:val="none"/>
          <w:lang w:val="en-US" w:eastAsia="zh-CN" w:bidi="ar-SA"/>
        </w:rPr>
        <w:t xml:space="preserve">方式：网上免费获取（潜在供应商自行登录政府采购云平台（网址：http://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"http://www.zcygov.cn）注册（https:/middle.zcygov.cn/v-settle-front/registry）并下载竞争性磋商文件，其他途径获取的竞争性磋商文件开标时一律按无效投标处理）。"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www.zcygov.cn）注册（https://middle.zcygov.cn/v-settle-front/registry）并下载竞争性磋商文件，其他途径获取的竞争性磋商文件开标时一律按无效投标处理）。</w:t>
      </w:r>
      <w:r>
        <w:rPr>
          <w:rFonts w:hint="eastAsia" w:ascii="宋体" w:hAnsi="宋体" w:eastAsia="宋体" w:cs="宋体"/>
          <w:color w:val="auto"/>
          <w:kern w:val="2"/>
          <w:sz w:val="24"/>
          <w:szCs w:val="24"/>
          <w:highlight w:val="none"/>
          <w:lang w:val="en-US" w:eastAsia="zh-CN" w:bidi="ar-SA"/>
        </w:rPr>
        <w:fldChar w:fldCharType="end"/>
      </w:r>
    </w:p>
    <w:p>
      <w:pPr>
        <w:spacing w:line="360" w:lineRule="auto"/>
        <w:rPr>
          <w:rFonts w:hint="eastAsia" w:ascii="宋体" w:hAnsi="宋体" w:cs="宋体"/>
          <w:b/>
          <w:bCs/>
          <w:sz w:val="24"/>
          <w:szCs w:val="24"/>
          <w:highlight w:val="none"/>
        </w:rPr>
      </w:pPr>
      <w:r>
        <w:rPr>
          <w:rFonts w:hint="eastAsia" w:ascii="宋体" w:hAnsi="宋体" w:cs="宋体"/>
          <w:b/>
          <w:bCs/>
          <w:sz w:val="24"/>
          <w:szCs w:val="24"/>
          <w:highlight w:val="none"/>
        </w:rPr>
        <w:t>四、响应文件提交</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1、截止时间及磋商时间：</w:t>
      </w:r>
      <w:r>
        <w:rPr>
          <w:rFonts w:hint="eastAsia" w:ascii="宋体" w:hAnsi="宋体" w:cs="宋体"/>
          <w:bCs/>
          <w:sz w:val="24"/>
          <w:szCs w:val="24"/>
          <w:highlight w:val="none"/>
          <w:u w:val="single"/>
        </w:rPr>
        <w:t>202</w:t>
      </w:r>
      <w:r>
        <w:rPr>
          <w:rFonts w:hint="eastAsia" w:ascii="宋体" w:hAnsi="宋体" w:cs="宋体"/>
          <w:bCs/>
          <w:sz w:val="24"/>
          <w:szCs w:val="24"/>
          <w:highlight w:val="none"/>
          <w:u w:val="single"/>
          <w:lang w:val="en-US" w:eastAsia="zh-CN"/>
        </w:rPr>
        <w:t>4</w:t>
      </w:r>
      <w:r>
        <w:rPr>
          <w:rFonts w:hint="eastAsia" w:ascii="宋体" w:hAnsi="宋体" w:cs="宋体"/>
          <w:bCs/>
          <w:sz w:val="24"/>
          <w:szCs w:val="24"/>
          <w:highlight w:val="none"/>
          <w:u w:val="single"/>
        </w:rPr>
        <w:t>年</w:t>
      </w:r>
      <w:r>
        <w:rPr>
          <w:rFonts w:hint="eastAsia" w:ascii="宋体" w:hAnsi="宋体" w:cs="宋体"/>
          <w:bCs/>
          <w:sz w:val="24"/>
          <w:szCs w:val="24"/>
          <w:highlight w:val="none"/>
          <w:u w:val="single"/>
          <w:lang w:val="en-US" w:eastAsia="zh-CN"/>
        </w:rPr>
        <w:t>1</w:t>
      </w:r>
      <w:r>
        <w:rPr>
          <w:rFonts w:hint="eastAsia" w:ascii="宋体" w:hAnsi="宋体" w:cs="宋体"/>
          <w:bCs/>
          <w:sz w:val="24"/>
          <w:szCs w:val="24"/>
          <w:highlight w:val="none"/>
          <w:u w:val="single"/>
        </w:rPr>
        <w:t>月</w:t>
      </w:r>
      <w:r>
        <w:rPr>
          <w:rFonts w:hint="eastAsia" w:ascii="宋体" w:hAnsi="宋体" w:cs="宋体"/>
          <w:bCs/>
          <w:sz w:val="24"/>
          <w:szCs w:val="24"/>
          <w:highlight w:val="none"/>
          <w:u w:val="single"/>
          <w:lang w:val="en-US" w:eastAsia="zh-CN"/>
        </w:rPr>
        <w:t>4</w:t>
      </w:r>
      <w:r>
        <w:rPr>
          <w:rFonts w:hint="eastAsia" w:ascii="宋体" w:hAnsi="宋体" w:cs="宋体"/>
          <w:bCs/>
          <w:sz w:val="24"/>
          <w:szCs w:val="24"/>
          <w:highlight w:val="none"/>
          <w:u w:val="single"/>
        </w:rPr>
        <w:t>日</w:t>
      </w:r>
      <w:r>
        <w:rPr>
          <w:rFonts w:hint="eastAsia" w:ascii="宋体" w:hAnsi="宋体" w:cs="宋体"/>
          <w:bCs/>
          <w:sz w:val="24"/>
          <w:szCs w:val="24"/>
          <w:highlight w:val="none"/>
          <w:u w:val="single"/>
          <w:lang w:val="en-US" w:eastAsia="zh-CN"/>
        </w:rPr>
        <w:t>9</w:t>
      </w:r>
      <w:r>
        <w:rPr>
          <w:rFonts w:hint="eastAsia" w:ascii="宋体" w:hAnsi="宋体" w:cs="宋体"/>
          <w:bCs/>
          <w:sz w:val="24"/>
          <w:szCs w:val="24"/>
          <w:highlight w:val="none"/>
          <w:u w:val="single"/>
        </w:rPr>
        <w:t>时</w:t>
      </w:r>
      <w:r>
        <w:rPr>
          <w:rFonts w:hint="eastAsia" w:ascii="宋体" w:hAnsi="宋体" w:cs="宋体"/>
          <w:bCs/>
          <w:sz w:val="24"/>
          <w:szCs w:val="24"/>
          <w:highlight w:val="none"/>
          <w:u w:val="single"/>
          <w:lang w:val="en-US" w:eastAsia="zh-CN"/>
        </w:rPr>
        <w:t>30</w:t>
      </w:r>
      <w:r>
        <w:rPr>
          <w:rFonts w:hint="eastAsia" w:ascii="宋体" w:hAnsi="宋体" w:cs="宋体"/>
          <w:bCs/>
          <w:sz w:val="24"/>
          <w:szCs w:val="24"/>
          <w:highlight w:val="none"/>
          <w:u w:val="single"/>
        </w:rPr>
        <w:t>分</w:t>
      </w:r>
      <w:r>
        <w:rPr>
          <w:rFonts w:hint="eastAsia" w:ascii="宋体" w:hAnsi="宋体" w:cs="宋体"/>
          <w:sz w:val="24"/>
          <w:szCs w:val="24"/>
          <w:highlight w:val="none"/>
        </w:rPr>
        <w:t>（北京时间）</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sz w:val="24"/>
          <w:szCs w:val="24"/>
          <w:highlight w:val="none"/>
        </w:rPr>
        <w:t>2、地点：</w:t>
      </w:r>
      <w:r>
        <w:rPr>
          <w:rFonts w:hint="eastAsia" w:ascii="宋体" w:hAnsi="宋体" w:cs="宋体"/>
          <w:color w:val="auto"/>
          <w:sz w:val="24"/>
          <w:highlight w:val="none"/>
        </w:rPr>
        <w:t>长春市二道区</w:t>
      </w:r>
      <w:r>
        <w:rPr>
          <w:rFonts w:hint="eastAsia" w:ascii="宋体" w:hAnsi="宋体" w:cs="宋体"/>
          <w:color w:val="auto"/>
          <w:sz w:val="24"/>
          <w:highlight w:val="none"/>
          <w:lang w:val="en-US" w:eastAsia="zh-CN"/>
        </w:rPr>
        <w:t>洋浦大街6999号</w:t>
      </w:r>
      <w:r>
        <w:rPr>
          <w:rFonts w:hint="eastAsia" w:ascii="宋体" w:hAnsi="宋体" w:cs="宋体"/>
          <w:color w:val="auto"/>
          <w:sz w:val="24"/>
          <w:highlight w:val="none"/>
        </w:rPr>
        <w:t>凯利中心</w:t>
      </w:r>
      <w:r>
        <w:rPr>
          <w:rFonts w:hint="eastAsia" w:ascii="宋体" w:hAnsi="宋体" w:cs="宋体"/>
          <w:color w:val="auto"/>
          <w:sz w:val="24"/>
          <w:highlight w:val="none"/>
          <w:lang w:val="en-US" w:eastAsia="zh-CN"/>
        </w:rPr>
        <w:t>AB栋101开标四室</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本项目执行电子化招投标，供应商在现场递交纸版的同时须通过政府采购云平台，（网址：http:// </w:t>
      </w:r>
      <w:r>
        <w:rPr>
          <w:rFonts w:hint="eastAsia" w:ascii="宋体" w:hAnsi="宋体" w:cs="宋体"/>
          <w:color w:val="auto"/>
          <w:sz w:val="24"/>
          <w:highlight w:val="none"/>
          <w:lang w:val="en-US" w:eastAsia="zh-CN"/>
        </w:rPr>
        <w:fldChar w:fldCharType="begin"/>
      </w:r>
      <w:r>
        <w:rPr>
          <w:rFonts w:hint="eastAsia" w:ascii="宋体" w:hAnsi="宋体" w:cs="宋体"/>
          <w:color w:val="auto"/>
          <w:sz w:val="24"/>
          <w:highlight w:val="none"/>
          <w:lang w:val="en-US" w:eastAsia="zh-CN"/>
        </w:rPr>
        <w:instrText xml:space="preserve"> HYPERLINK "http://www.zcygov.cn）递交电子版响应文件。" </w:instrText>
      </w:r>
      <w:r>
        <w:rPr>
          <w:rFonts w:hint="eastAsia" w:ascii="宋体" w:hAnsi="宋体" w:cs="宋体"/>
          <w:color w:val="auto"/>
          <w:sz w:val="24"/>
          <w:highlight w:val="none"/>
          <w:lang w:val="en-US" w:eastAsia="zh-CN"/>
        </w:rPr>
        <w:fldChar w:fldCharType="separate"/>
      </w:r>
      <w:r>
        <w:rPr>
          <w:rFonts w:hint="eastAsia" w:ascii="宋体" w:hAnsi="宋体" w:cs="宋体"/>
          <w:color w:val="auto"/>
          <w:sz w:val="24"/>
          <w:highlight w:val="none"/>
          <w:lang w:val="en-US" w:eastAsia="zh-CN"/>
        </w:rPr>
        <w:t>www.zcygov.cn）提交电子响应文件。</w:t>
      </w:r>
      <w:r>
        <w:rPr>
          <w:rFonts w:hint="eastAsia" w:ascii="宋体" w:hAnsi="宋体" w:cs="宋体"/>
          <w:color w:val="auto"/>
          <w:sz w:val="24"/>
          <w:highlight w:val="none"/>
          <w:lang w:val="en-US" w:eastAsia="zh-CN"/>
        </w:rPr>
        <w:fldChar w:fldCharType="end"/>
      </w:r>
      <w:r>
        <w:rPr>
          <w:rFonts w:hint="eastAsia" w:ascii="宋体" w:hAnsi="宋体" w:cs="宋体"/>
          <w:color w:val="auto"/>
          <w:sz w:val="24"/>
          <w:highlight w:val="none"/>
          <w:lang w:val="en-US" w:eastAsia="zh-CN"/>
        </w:rPr>
        <w:t>供应商在政府采购云平台注册入库成为正式供应商后，供应商须在“政采云投标客户端”按照本项目竞争性磋商文件和政府采购云平台要求编制、加密电子响应文件，并在提交响应文件截止时间前上传响应文件，填写供应商代表联系方式。政采云投标客户端及CA驱动下载地址：</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fldChar w:fldCharType="begin"/>
      </w:r>
      <w:r>
        <w:rPr>
          <w:rFonts w:hint="eastAsia" w:ascii="宋体" w:hAnsi="宋体" w:cs="宋体"/>
          <w:color w:val="auto"/>
          <w:sz w:val="24"/>
          <w:highlight w:val="none"/>
          <w:lang w:val="en-US" w:eastAsia="zh-CN"/>
        </w:rPr>
        <w:instrText xml:space="preserve"> HYPERLINK "https://customer.zcygov.cn/CA-driver-download?utm" </w:instrText>
      </w:r>
      <w:r>
        <w:rPr>
          <w:rFonts w:hint="eastAsia" w:ascii="宋体" w:hAnsi="宋体" w:cs="宋体"/>
          <w:color w:val="auto"/>
          <w:sz w:val="24"/>
          <w:highlight w:val="none"/>
          <w:lang w:val="en-US" w:eastAsia="zh-CN"/>
        </w:rPr>
        <w:fldChar w:fldCharType="separate"/>
      </w:r>
      <w:r>
        <w:rPr>
          <w:rFonts w:hint="eastAsia" w:ascii="宋体" w:hAnsi="宋体" w:cs="宋体"/>
          <w:color w:val="auto"/>
          <w:sz w:val="24"/>
          <w:highlight w:val="none"/>
          <w:lang w:val="en-US" w:eastAsia="zh-CN"/>
        </w:rPr>
        <w:t>https://customer.zcygov.cn/CA-driver-download?utm</w:t>
      </w:r>
      <w:r>
        <w:rPr>
          <w:rFonts w:hint="eastAsia" w:ascii="宋体" w:hAnsi="宋体" w:cs="宋体"/>
          <w:color w:val="auto"/>
          <w:sz w:val="24"/>
          <w:highlight w:val="none"/>
          <w:lang w:val="en-US" w:eastAsia="zh-CN"/>
        </w:rPr>
        <w:fldChar w:fldCharType="end"/>
      </w:r>
      <w:r>
        <w:rPr>
          <w:rFonts w:hint="eastAsia" w:ascii="宋体" w:hAnsi="宋体" w:cs="宋体"/>
          <w:color w:val="auto"/>
          <w:sz w:val="24"/>
          <w:highlight w:val="none"/>
          <w:lang w:val="en-US" w:eastAsia="zh-CN"/>
        </w:rPr>
        <w:t>=Web-login-front.52cebfa2.0.0.04df404003451ledaac705fda12edb43。</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若对项目采购电子交易系统操作有疑问拨打电子化平台客服热线：95763。</w:t>
      </w:r>
    </w:p>
    <w:p>
      <w:pPr>
        <w:spacing w:line="360" w:lineRule="auto"/>
        <w:rPr>
          <w:rFonts w:hint="eastAsia" w:ascii="宋体" w:hAnsi="宋体" w:cs="宋体"/>
          <w:b/>
          <w:bCs/>
          <w:sz w:val="24"/>
          <w:szCs w:val="24"/>
          <w:highlight w:val="none"/>
        </w:rPr>
      </w:pPr>
      <w:r>
        <w:rPr>
          <w:rFonts w:hint="eastAsia" w:ascii="宋体" w:hAnsi="宋体" w:cs="宋体"/>
          <w:b/>
          <w:bCs/>
          <w:sz w:val="24"/>
          <w:szCs w:val="24"/>
          <w:highlight w:val="none"/>
        </w:rPr>
        <w:t>五、开启</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1.时间：</w:t>
      </w:r>
      <w:r>
        <w:rPr>
          <w:rFonts w:hint="eastAsia" w:ascii="宋体" w:hAnsi="宋体" w:cs="宋体"/>
          <w:bCs/>
          <w:sz w:val="24"/>
          <w:szCs w:val="24"/>
          <w:highlight w:val="none"/>
          <w:u w:val="single"/>
        </w:rPr>
        <w:t>202</w:t>
      </w:r>
      <w:r>
        <w:rPr>
          <w:rFonts w:hint="eastAsia" w:ascii="宋体" w:hAnsi="宋体" w:cs="宋体"/>
          <w:bCs/>
          <w:sz w:val="24"/>
          <w:szCs w:val="24"/>
          <w:highlight w:val="none"/>
          <w:u w:val="single"/>
          <w:lang w:val="en-US" w:eastAsia="zh-CN"/>
        </w:rPr>
        <w:t>4</w:t>
      </w:r>
      <w:r>
        <w:rPr>
          <w:rFonts w:hint="eastAsia" w:ascii="宋体" w:hAnsi="宋体" w:cs="宋体"/>
          <w:bCs/>
          <w:sz w:val="24"/>
          <w:szCs w:val="24"/>
          <w:highlight w:val="none"/>
          <w:u w:val="single"/>
        </w:rPr>
        <w:t>年</w:t>
      </w:r>
      <w:r>
        <w:rPr>
          <w:rFonts w:hint="eastAsia" w:ascii="宋体" w:hAnsi="宋体" w:cs="宋体"/>
          <w:bCs/>
          <w:sz w:val="24"/>
          <w:szCs w:val="24"/>
          <w:highlight w:val="none"/>
          <w:u w:val="single"/>
          <w:lang w:val="en-US" w:eastAsia="zh-CN"/>
        </w:rPr>
        <w:t>1</w:t>
      </w:r>
      <w:r>
        <w:rPr>
          <w:rFonts w:hint="eastAsia" w:ascii="宋体" w:hAnsi="宋体" w:cs="宋体"/>
          <w:bCs/>
          <w:sz w:val="24"/>
          <w:szCs w:val="24"/>
          <w:highlight w:val="none"/>
          <w:u w:val="single"/>
        </w:rPr>
        <w:t>月</w:t>
      </w:r>
      <w:r>
        <w:rPr>
          <w:rFonts w:hint="eastAsia" w:ascii="宋体" w:hAnsi="宋体" w:cs="宋体"/>
          <w:bCs/>
          <w:sz w:val="24"/>
          <w:szCs w:val="24"/>
          <w:highlight w:val="none"/>
          <w:u w:val="single"/>
          <w:lang w:val="en-US" w:eastAsia="zh-CN"/>
        </w:rPr>
        <w:t>4</w:t>
      </w:r>
      <w:r>
        <w:rPr>
          <w:rFonts w:hint="eastAsia" w:ascii="宋体" w:hAnsi="宋体" w:cs="宋体"/>
          <w:bCs/>
          <w:sz w:val="24"/>
          <w:szCs w:val="24"/>
          <w:highlight w:val="none"/>
          <w:u w:val="single"/>
        </w:rPr>
        <w:t>日</w:t>
      </w:r>
      <w:r>
        <w:rPr>
          <w:rFonts w:hint="eastAsia" w:ascii="宋体" w:hAnsi="宋体" w:cs="宋体"/>
          <w:bCs/>
          <w:sz w:val="24"/>
          <w:szCs w:val="24"/>
          <w:highlight w:val="none"/>
          <w:u w:val="single"/>
          <w:lang w:val="en-US" w:eastAsia="zh-CN"/>
        </w:rPr>
        <w:t>9</w:t>
      </w:r>
      <w:r>
        <w:rPr>
          <w:rFonts w:hint="eastAsia" w:ascii="宋体" w:hAnsi="宋体" w:cs="宋体"/>
          <w:bCs/>
          <w:sz w:val="24"/>
          <w:szCs w:val="24"/>
          <w:highlight w:val="none"/>
          <w:u w:val="single"/>
        </w:rPr>
        <w:t>时</w:t>
      </w:r>
      <w:r>
        <w:rPr>
          <w:rFonts w:hint="eastAsia" w:ascii="宋体" w:hAnsi="宋体" w:cs="宋体"/>
          <w:bCs/>
          <w:sz w:val="24"/>
          <w:szCs w:val="24"/>
          <w:highlight w:val="none"/>
          <w:u w:val="single"/>
          <w:lang w:val="en-US" w:eastAsia="zh-CN"/>
        </w:rPr>
        <w:t>30</w:t>
      </w:r>
      <w:r>
        <w:rPr>
          <w:rFonts w:hint="eastAsia" w:ascii="宋体" w:hAnsi="宋体" w:cs="宋体"/>
          <w:bCs/>
          <w:sz w:val="24"/>
          <w:szCs w:val="24"/>
          <w:highlight w:val="none"/>
          <w:u w:val="single"/>
        </w:rPr>
        <w:t>分</w:t>
      </w:r>
      <w:r>
        <w:rPr>
          <w:rFonts w:hint="eastAsia" w:ascii="宋体" w:hAnsi="宋体" w:cs="宋体"/>
          <w:sz w:val="24"/>
          <w:szCs w:val="24"/>
          <w:highlight w:val="none"/>
        </w:rPr>
        <w:t>（北京时间）</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2.地点：</w:t>
      </w:r>
      <w:bookmarkEnd w:id="0"/>
      <w:bookmarkEnd w:id="1"/>
      <w:r>
        <w:rPr>
          <w:rFonts w:hint="eastAsia" w:ascii="宋体" w:hAnsi="宋体" w:cs="宋体"/>
          <w:color w:val="auto"/>
          <w:sz w:val="24"/>
          <w:highlight w:val="none"/>
        </w:rPr>
        <w:t>长春市二道区</w:t>
      </w:r>
      <w:r>
        <w:rPr>
          <w:rFonts w:hint="eastAsia" w:ascii="宋体" w:hAnsi="宋体" w:cs="宋体"/>
          <w:color w:val="auto"/>
          <w:sz w:val="24"/>
          <w:highlight w:val="none"/>
          <w:lang w:val="en-US" w:eastAsia="zh-CN"/>
        </w:rPr>
        <w:t>洋浦大街6999号</w:t>
      </w:r>
      <w:r>
        <w:rPr>
          <w:rFonts w:hint="eastAsia" w:ascii="宋体" w:hAnsi="宋体" w:cs="宋体"/>
          <w:color w:val="auto"/>
          <w:sz w:val="24"/>
          <w:highlight w:val="none"/>
        </w:rPr>
        <w:t>凯利中心</w:t>
      </w:r>
      <w:r>
        <w:rPr>
          <w:rFonts w:hint="eastAsia" w:ascii="宋体" w:hAnsi="宋体" w:cs="宋体"/>
          <w:color w:val="auto"/>
          <w:sz w:val="24"/>
          <w:highlight w:val="none"/>
          <w:lang w:val="en-US" w:eastAsia="zh-CN"/>
        </w:rPr>
        <w:t>AB栋101开标四室</w:t>
      </w:r>
    </w:p>
    <w:p>
      <w:pPr>
        <w:spacing w:line="360" w:lineRule="auto"/>
        <w:rPr>
          <w:rFonts w:hint="eastAsia" w:ascii="宋体" w:hAnsi="宋体" w:cs="宋体"/>
          <w:b/>
          <w:bCs/>
          <w:sz w:val="24"/>
          <w:szCs w:val="24"/>
          <w:highlight w:val="none"/>
        </w:rPr>
      </w:pPr>
      <w:r>
        <w:rPr>
          <w:rFonts w:hint="eastAsia" w:ascii="宋体" w:hAnsi="宋体" w:cs="宋体"/>
          <w:b/>
          <w:bCs/>
          <w:sz w:val="24"/>
          <w:szCs w:val="24"/>
          <w:highlight w:val="none"/>
        </w:rPr>
        <w:t>六、公告期限</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自本公告发布之日起</w:t>
      </w:r>
      <w:r>
        <w:rPr>
          <w:rFonts w:hint="eastAsia" w:ascii="宋体" w:hAnsi="宋体" w:cs="宋体"/>
          <w:sz w:val="24"/>
          <w:szCs w:val="24"/>
          <w:highlight w:val="none"/>
          <w:lang w:val="en-US" w:eastAsia="zh-CN"/>
        </w:rPr>
        <w:t>3</w:t>
      </w:r>
      <w:r>
        <w:rPr>
          <w:rFonts w:hint="eastAsia" w:ascii="宋体" w:hAnsi="宋体" w:cs="宋体"/>
          <w:sz w:val="24"/>
          <w:szCs w:val="24"/>
          <w:highlight w:val="none"/>
        </w:rPr>
        <w:t>个工作日。</w:t>
      </w:r>
    </w:p>
    <w:p>
      <w:pPr>
        <w:spacing w:line="360" w:lineRule="auto"/>
        <w:rPr>
          <w:rFonts w:hint="eastAsia" w:ascii="宋体" w:hAnsi="宋体" w:cs="宋体"/>
          <w:b/>
          <w:bCs/>
          <w:sz w:val="24"/>
          <w:szCs w:val="24"/>
          <w:highlight w:val="none"/>
        </w:rPr>
      </w:pPr>
      <w:r>
        <w:rPr>
          <w:rFonts w:hint="eastAsia" w:ascii="宋体" w:hAnsi="宋体" w:cs="宋体"/>
          <w:b/>
          <w:bCs/>
          <w:sz w:val="24"/>
          <w:szCs w:val="24"/>
          <w:highlight w:val="none"/>
        </w:rPr>
        <w:t>七、其他补充事宜</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本次</w:t>
      </w:r>
      <w:r>
        <w:rPr>
          <w:rFonts w:hint="eastAsia" w:ascii="宋体" w:hAnsi="宋体" w:eastAsia="宋体" w:cs="宋体"/>
          <w:sz w:val="24"/>
          <w:szCs w:val="24"/>
          <w:highlight w:val="none"/>
          <w:lang w:val="en-US" w:eastAsia="zh-CN"/>
        </w:rPr>
        <w:t>竞争性磋商</w:t>
      </w:r>
      <w:r>
        <w:rPr>
          <w:rFonts w:hint="eastAsia" w:ascii="宋体" w:hAnsi="宋体" w:eastAsia="宋体" w:cs="宋体"/>
          <w:sz w:val="24"/>
          <w:szCs w:val="24"/>
          <w:highlight w:val="none"/>
        </w:rPr>
        <w:t>公告同时在长春市公共资源交易网、</w:t>
      </w:r>
      <w:r>
        <w:rPr>
          <w:rFonts w:hint="eastAsia" w:ascii="宋体" w:hAnsi="宋体" w:eastAsia="宋体" w:cs="宋体"/>
          <w:sz w:val="24"/>
          <w:szCs w:val="24"/>
          <w:highlight w:val="none"/>
          <w:lang w:val="zh-CN"/>
        </w:rPr>
        <w:t>中国政府采购网、</w:t>
      </w:r>
      <w:r>
        <w:rPr>
          <w:rFonts w:hint="eastAsia" w:ascii="宋体" w:hAnsi="宋体" w:eastAsia="宋体" w:cs="宋体"/>
          <w:sz w:val="24"/>
          <w:szCs w:val="24"/>
          <w:highlight w:val="none"/>
          <w:lang w:val="en-US" w:eastAsia="zh-CN"/>
        </w:rPr>
        <w:t>长春市市场监督管理局官网</w:t>
      </w:r>
      <w:r>
        <w:rPr>
          <w:rFonts w:hint="eastAsia" w:ascii="宋体" w:hAnsi="宋体" w:eastAsia="宋体" w:cs="宋体"/>
          <w:sz w:val="24"/>
          <w:szCs w:val="24"/>
          <w:highlight w:val="none"/>
        </w:rPr>
        <w:t>上发布。</w:t>
      </w:r>
    </w:p>
    <w:p>
      <w:pPr>
        <w:spacing w:line="360" w:lineRule="auto"/>
        <w:rPr>
          <w:rFonts w:hint="eastAsia" w:ascii="宋体" w:hAnsi="宋体" w:cs="宋体"/>
          <w:b/>
          <w:bCs/>
          <w:sz w:val="24"/>
          <w:szCs w:val="24"/>
          <w:highlight w:val="none"/>
        </w:rPr>
      </w:pPr>
      <w:r>
        <w:rPr>
          <w:rFonts w:hint="eastAsia" w:ascii="宋体" w:hAnsi="宋体" w:cs="宋体"/>
          <w:b/>
          <w:bCs/>
          <w:sz w:val="24"/>
          <w:szCs w:val="24"/>
          <w:highlight w:val="none"/>
        </w:rPr>
        <w:t>八、对本次采购提出询问，请按以下方式联系</w:t>
      </w:r>
    </w:p>
    <w:p>
      <w:pPr>
        <w:pStyle w:val="15"/>
        <w:spacing w:line="360" w:lineRule="auto"/>
        <w:rPr>
          <w:rFonts w:hint="eastAsia" w:eastAsia="宋体"/>
          <w:highlight w:val="none"/>
          <w:lang w:eastAsia="zh-CN"/>
        </w:rPr>
      </w:pPr>
      <w:r>
        <w:rPr>
          <w:rFonts w:hint="eastAsia" w:eastAsia="宋体"/>
          <w:highlight w:val="none"/>
          <w:lang w:eastAsia="zh-CN"/>
        </w:rPr>
        <w:t>1.采购人信息</w:t>
      </w:r>
    </w:p>
    <w:p>
      <w:pPr>
        <w:pStyle w:val="15"/>
        <w:spacing w:line="360" w:lineRule="auto"/>
        <w:rPr>
          <w:rFonts w:hint="eastAsia" w:eastAsia="宋体"/>
          <w:highlight w:val="none"/>
          <w:lang w:eastAsia="zh-CN"/>
        </w:rPr>
      </w:pPr>
      <w:r>
        <w:rPr>
          <w:rFonts w:hint="eastAsia" w:eastAsia="宋体"/>
          <w:highlight w:val="none"/>
          <w:lang w:eastAsia="zh-CN"/>
        </w:rPr>
        <w:t>名    称：长春市市场监督管理局</w:t>
      </w:r>
    </w:p>
    <w:p>
      <w:pPr>
        <w:pStyle w:val="15"/>
        <w:spacing w:line="360" w:lineRule="auto"/>
        <w:rPr>
          <w:rFonts w:hint="eastAsia" w:eastAsia="宋体"/>
          <w:highlight w:val="none"/>
          <w:lang w:eastAsia="zh-CN"/>
        </w:rPr>
      </w:pPr>
      <w:r>
        <w:rPr>
          <w:rFonts w:hint="eastAsia" w:eastAsia="宋体"/>
          <w:highlight w:val="none"/>
          <w:lang w:eastAsia="zh-CN"/>
        </w:rPr>
        <w:t>地    址：</w:t>
      </w:r>
      <w:r>
        <w:rPr>
          <w:rFonts w:hint="eastAsia" w:ascii="宋体" w:hAnsi="宋体" w:cs="宋体"/>
          <w:color w:val="auto"/>
          <w:sz w:val="24"/>
          <w:highlight w:val="none"/>
        </w:rPr>
        <w:t>长春市景阳大路1199号</w:t>
      </w:r>
      <w:r>
        <w:rPr>
          <w:rFonts w:hint="eastAsia" w:eastAsia="宋体"/>
          <w:highlight w:val="none"/>
          <w:lang w:eastAsia="zh-CN"/>
        </w:rPr>
        <w:t xml:space="preserve"> </w:t>
      </w:r>
    </w:p>
    <w:p>
      <w:pPr>
        <w:pStyle w:val="15"/>
        <w:spacing w:line="360" w:lineRule="auto"/>
        <w:rPr>
          <w:rFonts w:hint="eastAsia" w:eastAsia="宋体"/>
          <w:highlight w:val="none"/>
          <w:lang w:eastAsia="zh-CN"/>
        </w:rPr>
      </w:pPr>
      <w:r>
        <w:rPr>
          <w:rFonts w:hint="eastAsia" w:eastAsia="宋体"/>
          <w:highlight w:val="none"/>
          <w:lang w:eastAsia="zh-CN"/>
        </w:rPr>
        <w:t>联系方式：</w:t>
      </w:r>
      <w:r>
        <w:rPr>
          <w:rFonts w:hint="eastAsia" w:ascii="宋体" w:hAnsi="宋体" w:cs="宋体"/>
          <w:bCs/>
          <w:szCs w:val="21"/>
          <w:highlight w:val="none"/>
        </w:rPr>
        <w:t xml:space="preserve">0431-88500355 </w:t>
      </w:r>
    </w:p>
    <w:p>
      <w:pPr>
        <w:pStyle w:val="15"/>
        <w:spacing w:line="360" w:lineRule="auto"/>
        <w:rPr>
          <w:rFonts w:hint="eastAsia" w:eastAsia="宋体"/>
          <w:highlight w:val="none"/>
          <w:lang w:eastAsia="zh-CN"/>
        </w:rPr>
      </w:pPr>
      <w:r>
        <w:rPr>
          <w:rFonts w:hint="eastAsia" w:eastAsia="宋体"/>
          <w:highlight w:val="none"/>
          <w:lang w:eastAsia="zh-CN"/>
        </w:rPr>
        <w:t>2.采购代理机构信息</w:t>
      </w:r>
    </w:p>
    <w:p>
      <w:pPr>
        <w:pStyle w:val="15"/>
        <w:spacing w:line="360" w:lineRule="auto"/>
        <w:rPr>
          <w:rFonts w:hint="eastAsia" w:eastAsia="宋体"/>
          <w:highlight w:val="none"/>
          <w:lang w:eastAsia="zh-CN"/>
        </w:rPr>
      </w:pPr>
      <w:r>
        <w:rPr>
          <w:rFonts w:hint="eastAsia" w:eastAsia="宋体"/>
          <w:highlight w:val="none"/>
          <w:lang w:eastAsia="zh-CN"/>
        </w:rPr>
        <w:t>名    称：吉林省顺宏项目管理咨询有限公司</w:t>
      </w:r>
    </w:p>
    <w:p>
      <w:pPr>
        <w:pStyle w:val="15"/>
        <w:spacing w:line="360" w:lineRule="auto"/>
        <w:rPr>
          <w:rFonts w:hint="eastAsia" w:eastAsia="宋体"/>
          <w:highlight w:val="none"/>
          <w:lang w:eastAsia="zh-CN"/>
        </w:rPr>
      </w:pPr>
      <w:r>
        <w:rPr>
          <w:rFonts w:hint="eastAsia" w:eastAsia="宋体"/>
          <w:highlight w:val="none"/>
          <w:lang w:eastAsia="zh-CN"/>
        </w:rPr>
        <w:t>地</w:t>
      </w:r>
      <w:r>
        <w:rPr>
          <w:rFonts w:hint="eastAsia" w:eastAsia="宋体"/>
          <w:highlight w:val="none"/>
          <w:lang w:val="en-US" w:eastAsia="zh-CN"/>
        </w:rPr>
        <w:t xml:space="preserve">    </w:t>
      </w:r>
      <w:r>
        <w:rPr>
          <w:rFonts w:hint="eastAsia" w:eastAsia="宋体"/>
          <w:highlight w:val="none"/>
          <w:lang w:eastAsia="zh-CN"/>
        </w:rPr>
        <w:t>址：</w:t>
      </w:r>
      <w:r>
        <w:rPr>
          <w:rFonts w:hint="eastAsia" w:ascii="宋体" w:hAnsi="宋体" w:cs="宋体"/>
          <w:color w:val="auto"/>
          <w:sz w:val="24"/>
          <w:highlight w:val="none"/>
        </w:rPr>
        <w:t>长春市朝阳区人民大街7655号航空国际A座316室</w:t>
      </w:r>
    </w:p>
    <w:p>
      <w:pPr>
        <w:pStyle w:val="15"/>
        <w:spacing w:line="360" w:lineRule="auto"/>
        <w:rPr>
          <w:rFonts w:hint="eastAsia" w:eastAsia="宋体"/>
          <w:highlight w:val="none"/>
          <w:lang w:eastAsia="zh-CN"/>
        </w:rPr>
      </w:pPr>
      <w:r>
        <w:rPr>
          <w:rFonts w:hint="eastAsia" w:eastAsia="宋体"/>
          <w:highlight w:val="none"/>
          <w:lang w:eastAsia="zh-CN"/>
        </w:rPr>
        <w:t>联系方式：0431-82276521</w:t>
      </w:r>
    </w:p>
    <w:p>
      <w:pPr>
        <w:pStyle w:val="15"/>
        <w:spacing w:line="360" w:lineRule="auto"/>
        <w:rPr>
          <w:rFonts w:hint="eastAsia" w:eastAsia="宋体"/>
          <w:highlight w:val="none"/>
          <w:lang w:eastAsia="zh-CN"/>
        </w:rPr>
      </w:pPr>
      <w:r>
        <w:rPr>
          <w:rFonts w:hint="eastAsia" w:eastAsia="宋体"/>
          <w:highlight w:val="none"/>
          <w:lang w:eastAsia="zh-CN"/>
        </w:rPr>
        <w:t>3.项目联系方式</w:t>
      </w:r>
    </w:p>
    <w:p>
      <w:pPr>
        <w:pStyle w:val="15"/>
        <w:spacing w:line="360" w:lineRule="auto"/>
        <w:rPr>
          <w:rFonts w:hint="eastAsia" w:eastAsia="宋体"/>
          <w:highlight w:val="none"/>
          <w:lang w:eastAsia="zh-CN"/>
        </w:rPr>
      </w:pPr>
      <w:r>
        <w:rPr>
          <w:rFonts w:hint="eastAsia" w:eastAsia="宋体"/>
          <w:highlight w:val="none"/>
          <w:lang w:eastAsia="zh-CN"/>
        </w:rPr>
        <w:t>项目联系人：张盛宇</w:t>
      </w:r>
    </w:p>
    <w:p>
      <w:pPr>
        <w:pStyle w:val="15"/>
        <w:spacing w:line="360" w:lineRule="auto"/>
        <w:rPr>
          <w:rFonts w:hint="eastAsia" w:eastAsia="宋体"/>
          <w:highlight w:val="none"/>
          <w:lang w:eastAsia="zh-CN"/>
        </w:rPr>
      </w:pPr>
      <w:r>
        <w:rPr>
          <w:rFonts w:hint="eastAsia" w:eastAsia="宋体"/>
          <w:highlight w:val="none"/>
          <w:lang w:eastAsia="zh-CN"/>
        </w:rPr>
        <w:t>电话：0431-82276521</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长城楷体">
    <w:altName w:val="宋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NTNiOTg4MmNmMGE4NzI3ODY5NGY5MWRjOGY2MGYifQ=="/>
  </w:docVars>
  <w:rsids>
    <w:rsidRoot w:val="4A472A6C"/>
    <w:rsid w:val="01F91747"/>
    <w:rsid w:val="05DC29A4"/>
    <w:rsid w:val="067B4DDF"/>
    <w:rsid w:val="080D1DAC"/>
    <w:rsid w:val="084859A3"/>
    <w:rsid w:val="09B730DA"/>
    <w:rsid w:val="0B0651D3"/>
    <w:rsid w:val="0B5C4586"/>
    <w:rsid w:val="0B5E6420"/>
    <w:rsid w:val="12D821DC"/>
    <w:rsid w:val="12E666F6"/>
    <w:rsid w:val="135F0ED4"/>
    <w:rsid w:val="14015514"/>
    <w:rsid w:val="17282488"/>
    <w:rsid w:val="19112CA0"/>
    <w:rsid w:val="1BBA5644"/>
    <w:rsid w:val="1BF46D1B"/>
    <w:rsid w:val="1C5F4CFE"/>
    <w:rsid w:val="1CDA4CF5"/>
    <w:rsid w:val="1F1859CF"/>
    <w:rsid w:val="21D3282C"/>
    <w:rsid w:val="220C13A1"/>
    <w:rsid w:val="22463ED4"/>
    <w:rsid w:val="23837034"/>
    <w:rsid w:val="243548F6"/>
    <w:rsid w:val="24AB7471"/>
    <w:rsid w:val="2535691E"/>
    <w:rsid w:val="298D0BC4"/>
    <w:rsid w:val="2A2012E7"/>
    <w:rsid w:val="2ADE79F2"/>
    <w:rsid w:val="2AF9558E"/>
    <w:rsid w:val="2EC0153F"/>
    <w:rsid w:val="2EE644A8"/>
    <w:rsid w:val="34404F8F"/>
    <w:rsid w:val="34B20B66"/>
    <w:rsid w:val="355C0039"/>
    <w:rsid w:val="38355965"/>
    <w:rsid w:val="386D1D8D"/>
    <w:rsid w:val="392B58F2"/>
    <w:rsid w:val="3A546C17"/>
    <w:rsid w:val="3ACD479C"/>
    <w:rsid w:val="3B06576A"/>
    <w:rsid w:val="3C654805"/>
    <w:rsid w:val="3D404689"/>
    <w:rsid w:val="3D87344A"/>
    <w:rsid w:val="40E23045"/>
    <w:rsid w:val="415A2C36"/>
    <w:rsid w:val="41FF76C0"/>
    <w:rsid w:val="42D70607"/>
    <w:rsid w:val="43CF1F35"/>
    <w:rsid w:val="43F75112"/>
    <w:rsid w:val="45163688"/>
    <w:rsid w:val="45323BA5"/>
    <w:rsid w:val="45375AF0"/>
    <w:rsid w:val="4A472A6C"/>
    <w:rsid w:val="4AAF6A3A"/>
    <w:rsid w:val="4C6539F8"/>
    <w:rsid w:val="4D0549EA"/>
    <w:rsid w:val="4DF43B2D"/>
    <w:rsid w:val="4E86751A"/>
    <w:rsid w:val="4FC867E7"/>
    <w:rsid w:val="4FD173B6"/>
    <w:rsid w:val="51010A56"/>
    <w:rsid w:val="51086279"/>
    <w:rsid w:val="534A1D91"/>
    <w:rsid w:val="53963117"/>
    <w:rsid w:val="547568CE"/>
    <w:rsid w:val="56BD76A4"/>
    <w:rsid w:val="573A621A"/>
    <w:rsid w:val="5870229A"/>
    <w:rsid w:val="61012C2E"/>
    <w:rsid w:val="62066DC0"/>
    <w:rsid w:val="62762D19"/>
    <w:rsid w:val="62B33915"/>
    <w:rsid w:val="63B81E84"/>
    <w:rsid w:val="659B553B"/>
    <w:rsid w:val="66760AC6"/>
    <w:rsid w:val="681538F7"/>
    <w:rsid w:val="694D546E"/>
    <w:rsid w:val="6AE05366"/>
    <w:rsid w:val="6B9C396C"/>
    <w:rsid w:val="6C85347C"/>
    <w:rsid w:val="6E070112"/>
    <w:rsid w:val="710D4746"/>
    <w:rsid w:val="71C5015B"/>
    <w:rsid w:val="71E63AB4"/>
    <w:rsid w:val="7233251D"/>
    <w:rsid w:val="725D71CF"/>
    <w:rsid w:val="72D42A30"/>
    <w:rsid w:val="74800F7B"/>
    <w:rsid w:val="75706ECC"/>
    <w:rsid w:val="763E18F7"/>
    <w:rsid w:val="764440FE"/>
    <w:rsid w:val="79FD0732"/>
    <w:rsid w:val="7B3957EC"/>
    <w:rsid w:val="7CD75B94"/>
    <w:rsid w:val="7D4E40A8"/>
    <w:rsid w:val="7EFF3D38"/>
    <w:rsid w:val="7F3A3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autoRedefine/>
    <w:qFormat/>
    <w:uiPriority w:val="0"/>
    <w:pPr>
      <w:keepNext/>
      <w:keepLines/>
      <w:spacing w:before="200" w:after="200" w:line="240" w:lineRule="auto"/>
      <w:ind w:firstLine="0" w:firstLineChars="0"/>
      <w:jc w:val="center"/>
      <w:outlineLvl w:val="0"/>
    </w:pPr>
    <w:rPr>
      <w:rFonts w:ascii="宋体" w:hAnsi="宋体" w:eastAsia="宋体" w:cs="宋体"/>
      <w:b/>
      <w:bCs/>
      <w:kern w:val="44"/>
      <w:sz w:val="48"/>
      <w:szCs w:val="48"/>
    </w:rPr>
  </w:style>
  <w:style w:type="paragraph" w:styleId="4">
    <w:name w:val="heading 2"/>
    <w:basedOn w:val="1"/>
    <w:next w:val="1"/>
    <w:link w:val="20"/>
    <w:autoRedefine/>
    <w:semiHidden/>
    <w:unhideWhenUsed/>
    <w:qFormat/>
    <w:uiPriority w:val="0"/>
    <w:pPr>
      <w:spacing w:before="160" w:after="160" w:line="240" w:lineRule="auto"/>
      <w:ind w:left="0" w:firstLine="0" w:firstLineChars="0"/>
      <w:jc w:val="center"/>
      <w:outlineLvl w:val="1"/>
    </w:pPr>
    <w:rPr>
      <w:b/>
      <w:sz w:val="36"/>
      <w:szCs w:val="36"/>
      <w:u w:val="none" w:color="000000"/>
      <w:lang w:val="zh-CN" w:bidi="zh-CN"/>
    </w:rPr>
  </w:style>
  <w:style w:type="paragraph" w:styleId="5">
    <w:name w:val="heading 3"/>
    <w:basedOn w:val="1"/>
    <w:next w:val="1"/>
    <w:link w:val="18"/>
    <w:autoRedefine/>
    <w:semiHidden/>
    <w:unhideWhenUsed/>
    <w:qFormat/>
    <w:uiPriority w:val="0"/>
    <w:pPr>
      <w:keepNext/>
      <w:keepLines/>
      <w:spacing w:line="360" w:lineRule="auto"/>
      <w:outlineLvl w:val="2"/>
    </w:pPr>
    <w:rPr>
      <w:rFonts w:ascii="宋体" w:hAnsi="宋体" w:eastAsia="宋体"/>
      <w:b/>
      <w:bCs/>
      <w:sz w:val="30"/>
      <w:szCs w:val="32"/>
    </w:rPr>
  </w:style>
  <w:style w:type="paragraph" w:styleId="6">
    <w:name w:val="heading 4"/>
    <w:basedOn w:val="1"/>
    <w:next w:val="1"/>
    <w:link w:val="21"/>
    <w:autoRedefine/>
    <w:semiHidden/>
    <w:unhideWhenUsed/>
    <w:qFormat/>
    <w:uiPriority w:val="0"/>
    <w:pPr>
      <w:keepNext/>
      <w:keepLines/>
      <w:spacing w:beforeLines="0" w:afterLines="0" w:line="360" w:lineRule="auto"/>
      <w:outlineLvl w:val="3"/>
    </w:pPr>
    <w:rPr>
      <w:rFonts w:ascii="宋体" w:hAnsi="宋体"/>
      <w:b/>
      <w:bCs/>
      <w:sz w:val="28"/>
      <w:szCs w:val="28"/>
    </w:rPr>
  </w:style>
  <w:style w:type="paragraph" w:styleId="7">
    <w:name w:val="heading 5"/>
    <w:basedOn w:val="1"/>
    <w:next w:val="1"/>
    <w:link w:val="22"/>
    <w:autoRedefine/>
    <w:semiHidden/>
    <w:unhideWhenUsed/>
    <w:qFormat/>
    <w:uiPriority w:val="0"/>
    <w:pPr>
      <w:keepNext/>
      <w:keepLines/>
      <w:spacing w:beforeLines="0" w:beforeAutospacing="0" w:afterLines="0" w:afterAutospacing="0" w:line="360" w:lineRule="auto"/>
      <w:outlineLvl w:val="4"/>
    </w:pPr>
    <w:rPr>
      <w:rFonts w:ascii="宋体" w:hAnsi="宋体" w:eastAsia="宋体" w:cs="宋体"/>
      <w:b/>
      <w:bCs/>
    </w:rPr>
  </w:style>
  <w:style w:type="paragraph" w:styleId="8">
    <w:name w:val="heading 6"/>
    <w:basedOn w:val="1"/>
    <w:next w:val="1"/>
    <w:autoRedefine/>
    <w:semiHidden/>
    <w:unhideWhenUsed/>
    <w:qFormat/>
    <w:uiPriority w:val="0"/>
    <w:pPr>
      <w:keepNext/>
      <w:keepLines/>
      <w:spacing w:beforeLines="0" w:beforeAutospacing="0" w:afterLines="0" w:afterAutospacing="0" w:line="360" w:lineRule="auto"/>
      <w:outlineLvl w:val="5"/>
    </w:pPr>
    <w:rPr>
      <w:rFonts w:ascii="Arial" w:hAnsi="Arial" w:eastAsia="黑体" w:cs="宋体"/>
      <w:b/>
    </w:rPr>
  </w:style>
  <w:style w:type="character" w:default="1" w:styleId="17">
    <w:name w:val="Default Paragraph Font"/>
    <w:autoRedefine/>
    <w:unhideWhenUsed/>
    <w:qFormat/>
    <w:uiPriority w:val="1"/>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楷体_GB2312"/>
      <w:sz w:val="30"/>
      <w:szCs w:val="20"/>
    </w:rPr>
  </w:style>
  <w:style w:type="paragraph" w:styleId="9">
    <w:name w:val="Normal Indent"/>
    <w:basedOn w:val="1"/>
    <w:autoRedefine/>
    <w:qFormat/>
    <w:uiPriority w:val="0"/>
    <w:pPr>
      <w:ind w:firstLine="420" w:firstLineChars="200"/>
    </w:pPr>
  </w:style>
  <w:style w:type="paragraph" w:styleId="10">
    <w:name w:val="Body Text Indent"/>
    <w:basedOn w:val="1"/>
    <w:next w:val="1"/>
    <w:qFormat/>
    <w:uiPriority w:val="0"/>
    <w:pPr>
      <w:ind w:firstLine="630"/>
    </w:pPr>
    <w:rPr>
      <w:rFonts w:ascii="长城楷体" w:eastAsia="长城楷体"/>
      <w:kern w:val="0"/>
      <w:sz w:val="32"/>
    </w:rPr>
  </w:style>
  <w:style w:type="paragraph" w:styleId="11">
    <w:name w:val="Date"/>
    <w:basedOn w:val="1"/>
    <w:next w:val="1"/>
    <w:qFormat/>
    <w:uiPriority w:val="0"/>
    <w:rPr>
      <w:sz w:val="24"/>
      <w:szCs w:val="20"/>
    </w:rPr>
  </w:style>
  <w:style w:type="paragraph" w:styleId="12">
    <w:name w:val="toc 1"/>
    <w:basedOn w:val="1"/>
    <w:next w:val="1"/>
    <w:qFormat/>
    <w:uiPriority w:val="0"/>
    <w:rPr>
      <w:sz w:val="32"/>
    </w:rPr>
  </w:style>
  <w:style w:type="paragraph" w:styleId="13">
    <w:name w:val="toc 2"/>
    <w:basedOn w:val="1"/>
    <w:next w:val="1"/>
    <w:autoRedefine/>
    <w:qFormat/>
    <w:uiPriority w:val="0"/>
    <w:pPr>
      <w:ind w:left="420" w:leftChars="200"/>
    </w:pPr>
  </w:style>
  <w:style w:type="paragraph" w:styleId="14">
    <w:name w:val="Normal (Web)"/>
    <w:basedOn w:val="1"/>
    <w:qFormat/>
    <w:uiPriority w:val="99"/>
    <w:pPr>
      <w:widowControl/>
      <w:spacing w:beforeAutospacing="1" w:afterAutospacing="1"/>
      <w:jc w:val="left"/>
    </w:pPr>
    <w:rPr>
      <w:rFonts w:ascii="宋体" w:hAnsi="宋体" w:cs="宋体"/>
      <w:kern w:val="0"/>
      <w:sz w:val="24"/>
    </w:rPr>
  </w:style>
  <w:style w:type="paragraph" w:styleId="15">
    <w:name w:val="Body Text First Indent 2"/>
    <w:basedOn w:val="10"/>
    <w:next w:val="1"/>
    <w:unhideWhenUsed/>
    <w:qFormat/>
    <w:uiPriority w:val="99"/>
    <w:pPr>
      <w:tabs>
        <w:tab w:val="left" w:pos="360"/>
      </w:tabs>
      <w:ind w:firstLine="420"/>
    </w:pPr>
    <w:rPr>
      <w:sz w:val="24"/>
    </w:rPr>
  </w:style>
  <w:style w:type="character" w:customStyle="1" w:styleId="18">
    <w:name w:val="标题 3 Char"/>
    <w:basedOn w:val="17"/>
    <w:link w:val="5"/>
    <w:autoRedefine/>
    <w:semiHidden/>
    <w:qFormat/>
    <w:uiPriority w:val="9"/>
    <w:rPr>
      <w:rFonts w:ascii="宋体" w:hAnsi="宋体" w:eastAsia="宋体"/>
      <w:b/>
      <w:bCs/>
      <w:sz w:val="32"/>
      <w:szCs w:val="32"/>
    </w:rPr>
  </w:style>
  <w:style w:type="character" w:customStyle="1" w:styleId="19">
    <w:name w:val="标题 1 Char"/>
    <w:link w:val="3"/>
    <w:autoRedefine/>
    <w:qFormat/>
    <w:uiPriority w:val="9"/>
    <w:rPr>
      <w:rFonts w:ascii="宋体" w:hAnsi="宋体" w:eastAsia="宋体" w:cs="宋体"/>
      <w:b/>
      <w:sz w:val="48"/>
      <w:szCs w:val="48"/>
      <w:lang w:val="en-US" w:eastAsia="zh-CN" w:bidi="ar-SA"/>
    </w:rPr>
  </w:style>
  <w:style w:type="character" w:customStyle="1" w:styleId="20">
    <w:name w:val="标题 2 Char"/>
    <w:link w:val="4"/>
    <w:autoRedefine/>
    <w:qFormat/>
    <w:locked/>
    <w:uiPriority w:val="0"/>
    <w:rPr>
      <w:rFonts w:ascii="仿宋" w:hAnsi="仿宋" w:eastAsia="宋体" w:cs="仿宋"/>
      <w:b/>
      <w:bCs/>
      <w:kern w:val="2"/>
      <w:sz w:val="36"/>
      <w:szCs w:val="36"/>
      <w:lang w:val="en-US" w:eastAsia="zh-CN" w:bidi="ar-SA"/>
    </w:rPr>
  </w:style>
  <w:style w:type="character" w:customStyle="1" w:styleId="21">
    <w:name w:val="标题 4 Char"/>
    <w:link w:val="6"/>
    <w:autoRedefine/>
    <w:qFormat/>
    <w:uiPriority w:val="9"/>
    <w:rPr>
      <w:rFonts w:ascii="宋体" w:hAnsi="宋体" w:eastAsia="宋体"/>
      <w:b/>
      <w:bCs/>
      <w:sz w:val="28"/>
      <w:szCs w:val="28"/>
    </w:rPr>
  </w:style>
  <w:style w:type="character" w:customStyle="1" w:styleId="22">
    <w:name w:val="标题 5 Char"/>
    <w:link w:val="7"/>
    <w:autoRedefine/>
    <w:qFormat/>
    <w:uiPriority w:val="0"/>
    <w:rPr>
      <w:rFonts w:ascii="宋体" w:hAnsi="宋体" w:eastAsia="宋体" w:cs="宋体"/>
      <w:b/>
      <w:bCs/>
      <w:sz w:val="24"/>
    </w:rPr>
  </w:style>
  <w:style w:type="paragraph" w:customStyle="1" w:styleId="23">
    <w:name w:val="Default"/>
    <w:next w:val="11"/>
    <w:autoRedefine/>
    <w:qFormat/>
    <w:uiPriority w:val="0"/>
    <w:pPr>
      <w:widowControl w:val="0"/>
      <w:autoSpaceDE w:val="0"/>
      <w:autoSpaceDN w:val="0"/>
    </w:pPr>
    <w:rPr>
      <w:rFonts w:ascii="Times New Roman" w:hAnsi="Times New Roman"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2023-12-22T04:43:00Z</dcterms:created>
  <dc:creator>刘宇</dc:creator>
  <cp:lastModifiedBy>刘宇</cp:lastModifiedBy>
  <dcterms:modified xsi:type="dcterms:W3CDTF">2023-12-22T04:43:47Z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32E15BA5C4514978A2BB5E6E9D099650_11</vt:lpwstr>
  </property>
</Properties>
</file>