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ind w:firstLine="3360" w:firstLineChars="1050"/>
        <w:jc w:val="right"/>
        <w:rPr>
          <w:rFonts w:ascii="仿宋_GB2312" w:hAnsi="仿宋"/>
          <w:sz w:val="32"/>
          <w:szCs w:val="32"/>
        </w:rPr>
      </w:pPr>
      <w:bookmarkStart w:id="0" w:name="_GoBack"/>
      <w:bookmarkEnd w:id="0"/>
      <w:r>
        <w:rPr>
          <w:rFonts w:hint="eastAsia" w:ascii="仿宋_GB2312" w:hAnsi="仿宋"/>
          <w:sz w:val="32"/>
        </w:rPr>
        <w:t>【A】</w:t>
      </w:r>
    </w:p>
    <w:p>
      <w:pPr>
        <w:jc w:val="center"/>
        <w:rPr>
          <w:rFonts w:ascii="仿宋_GB2312" w:hAnsi="仿宋"/>
          <w:sz w:val="32"/>
          <w:szCs w:val="32"/>
        </w:rPr>
      </w:pPr>
      <w:r>
        <w:rPr>
          <w:rFonts w:hint="eastAsia" w:ascii="仿宋_GB2312" w:hAnsi="仿宋"/>
          <w:sz w:val="48"/>
        </w:rPr>
        <w:t xml:space="preserve">             </w:t>
      </w:r>
      <w:r>
        <w:rPr>
          <w:rFonts w:hint="eastAsia" w:ascii="仿宋_GB2312" w:hAnsi="仿宋"/>
          <w:sz w:val="48"/>
          <w:lang w:val="en-US" w:eastAsia="zh-CN"/>
        </w:rPr>
        <w:t xml:space="preserve"> </w:t>
      </w:r>
      <w:r>
        <w:rPr>
          <w:rFonts w:hint="eastAsia" w:ascii="仿宋_GB2312" w:hAnsi="仿宋"/>
          <w:sz w:val="48"/>
        </w:rPr>
        <w:t xml:space="preserve">             </w:t>
      </w:r>
      <w:r>
        <w:rPr>
          <w:rFonts w:hint="eastAsia" w:ascii="仿宋_GB2312" w:hAnsi="仿宋"/>
          <w:sz w:val="32"/>
        </w:rPr>
        <w:t>【同意公开】</w:t>
      </w:r>
    </w:p>
    <w:p>
      <w:pPr>
        <w:spacing w:line="680" w:lineRule="exact"/>
        <w:rPr>
          <w:rFonts w:ascii="华文中宋" w:hAnsi="华文中宋" w:eastAsia="华文中宋"/>
          <w:sz w:val="52"/>
          <w:szCs w:val="52"/>
        </w:rPr>
      </w:pPr>
    </w:p>
    <w:p>
      <w:pPr>
        <w:spacing w:line="680" w:lineRule="exact"/>
        <w:jc w:val="center"/>
        <w:rPr>
          <w:rFonts w:ascii="华文中宋" w:hAnsi="华文中宋" w:eastAsia="华文中宋"/>
          <w:b/>
          <w:color w:val="FF0000"/>
          <w:spacing w:val="20"/>
          <w:sz w:val="52"/>
          <w:szCs w:val="52"/>
        </w:rPr>
      </w:pPr>
      <w:r>
        <w:rPr>
          <w:rFonts w:hint="eastAsia" w:ascii="华文中宋" w:hAnsi="华文中宋" w:eastAsia="华文中宋"/>
          <w:b/>
          <w:color w:val="FF0000"/>
          <w:spacing w:val="20"/>
          <w:sz w:val="52"/>
          <w:szCs w:val="52"/>
        </w:rPr>
        <w:t>长 春 市 市 场 监 督 管 理 局</w:t>
      </w:r>
    </w:p>
    <w:p>
      <w:pPr>
        <w:spacing w:line="680" w:lineRule="exact"/>
        <w:rPr>
          <w:rFonts w:ascii="华文中宋" w:hAnsi="华文中宋" w:eastAsia="华文中宋"/>
          <w:color w:val="FF0000"/>
          <w:sz w:val="52"/>
          <w:szCs w:val="52"/>
        </w:rPr>
      </w:pPr>
    </w:p>
    <w:p>
      <w:pPr>
        <w:spacing w:line="700" w:lineRule="exact"/>
        <w:rPr>
          <w:rFonts w:hint="eastAsia" w:ascii="楷体" w:hAnsi="楷体" w:eastAsia="楷体" w:cs="楷体"/>
          <w:color w:val="000000"/>
          <w:sz w:val="32"/>
          <w:szCs w:val="32"/>
        </w:rPr>
      </w:pPr>
      <w:r>
        <w:rPr>
          <w:rFonts w:hint="eastAsia" w:ascii="仿宋_GB2312" w:hAnsi="仿宋_GB2312" w:eastAsia="仿宋_GB2312" w:cs="仿宋_GB2312"/>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447040</wp:posOffset>
                </wp:positionV>
                <wp:extent cx="5486400" cy="0"/>
                <wp:effectExtent l="0" t="0" r="0" b="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12700">
                          <a:solidFill>
                            <a:srgbClr val="FF0000"/>
                          </a:solidFill>
                          <a:round/>
                        </a:ln>
                        <a:effectLst/>
                      </wps:spPr>
                      <wps:bodyPr/>
                    </wps:wsp>
                  </a:graphicData>
                </a:graphic>
              </wp:anchor>
            </w:drawing>
          </mc:Choice>
          <mc:Fallback>
            <w:pict>
              <v:line id="_x0000_s1026" o:spid="_x0000_s1026" o:spt="20" style="position:absolute;left:0pt;margin-left:-9pt;margin-top:35.2pt;height:0pt;width:432pt;z-index:251658240;mso-width-relative:page;mso-height-relative:page;" filled="f" stroked="t" coordsize="21600,21600" o:gfxdata="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ns6Jr1wAAAAkBAAAPAAAAAAAAAAEAIAAAACIAAABk&#10;cnMvZG93bnJldi54bWxQSwECFAAUAAAACACHTuJAdTNt3s4BAABrAwAADgAAAAAAAAABACAAAAAm&#10;AQAAZHJzL2Uyb0RvYy54bWxQSwUGAAAAAAYABgBZAQAAZgUAAAAA&#10;">
                <v:fill on="f" focussize="0,0"/>
                <v:stroke weight="1pt" color="#FF0000" joinstyle="round"/>
                <v:imagedata o:title=""/>
                <o:lock v:ext="edit" aspectratio="f"/>
              </v:line>
            </w:pict>
          </mc:Fallback>
        </mc:AlternateContent>
      </w:r>
      <w:r>
        <w:rPr>
          <w:rFonts w:hint="eastAsia" w:ascii="仿宋_GB2312" w:hAnsi="仿宋_GB2312" w:eastAsia="仿宋_GB2312" w:cs="仿宋_GB2312"/>
          <w:color w:val="000000"/>
          <w:sz w:val="32"/>
          <w:szCs w:val="32"/>
        </w:rPr>
        <w:t>长市监议字〔202</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 xml:space="preserve">号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 xml:space="preserve">    签发人：</w:t>
      </w:r>
      <w:r>
        <w:rPr>
          <w:rFonts w:hint="eastAsia" w:ascii="楷体" w:hAnsi="楷体" w:eastAsia="楷体" w:cs="楷体"/>
          <w:color w:val="000000"/>
          <w:sz w:val="32"/>
          <w:szCs w:val="32"/>
          <w:lang w:eastAsia="zh-CN"/>
        </w:rPr>
        <w:t>张意海</w:t>
      </w:r>
      <w:r>
        <w:rPr>
          <w:rFonts w:hint="eastAsia" w:ascii="楷体" w:hAnsi="楷体" w:eastAsia="楷体" w:cs="楷体"/>
          <w:color w:val="000000"/>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华文中宋" w:hAnsi="华文中宋" w:eastAsia="华文中宋" w:cs="华文中宋"/>
          <w:b w:val="0"/>
          <w:bCs w:val="0"/>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rPr>
      </w:pPr>
    </w:p>
    <w:p>
      <w:pPr>
        <w:ind w:left="2200" w:hanging="1800" w:hangingChars="500"/>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rPr>
        <w:t>对政协长春市第十四届委员会第三次会议</w:t>
      </w:r>
    </w:p>
    <w:p>
      <w:pPr>
        <w:ind w:left="2200" w:hanging="1800" w:hangingChars="500"/>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第265号提案的答复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afterLines="0" w:line="560" w:lineRule="exact"/>
        <w:textAlignment w:val="auto"/>
        <w:rPr>
          <w:rFonts w:hint="default" w:ascii="仿宋" w:hAnsi="仿宋" w:eastAsia="仿宋"/>
          <w:sz w:val="32"/>
          <w:szCs w:val="32"/>
        </w:rPr>
      </w:pPr>
      <w:r>
        <w:rPr>
          <w:rFonts w:hint="eastAsia" w:ascii="仿宋" w:hAnsi="仿宋" w:eastAsia="仿宋"/>
          <w:sz w:val="32"/>
          <w:szCs w:val="32"/>
          <w:lang w:eastAsia="zh-CN"/>
        </w:rPr>
        <w:t>李长翠</w:t>
      </w:r>
      <w:r>
        <w:rPr>
          <w:rFonts w:hint="default" w:ascii="仿宋" w:hAnsi="仿宋" w:eastAsia="仿宋"/>
          <w:sz w:val="32"/>
          <w:szCs w:val="32"/>
        </w:rPr>
        <w:t>委员</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spacing w:afterLines="0" w:line="560" w:lineRule="exact"/>
        <w:ind w:firstLine="640" w:firstLineChars="200"/>
        <w:textAlignment w:val="auto"/>
        <w:rPr>
          <w:rFonts w:hint="eastAsia"/>
        </w:rPr>
      </w:pPr>
      <w:r>
        <w:rPr>
          <w:rFonts w:hint="eastAsia" w:ascii="CESI仿宋-GB2312" w:hAnsi="CESI仿宋-GB2312" w:eastAsia="CESI仿宋-GB2312" w:cs="CESI仿宋-GB2312"/>
          <w:sz w:val="32"/>
          <w:szCs w:val="32"/>
        </w:rPr>
        <w:t>您在市政协第十四届委员会第三次会议上提出的《关于高校专利成果转化的建议》的提案(第265号)收悉，现答复如下：</w:t>
      </w:r>
    </w:p>
    <w:p>
      <w:pPr>
        <w:keepNext w:val="0"/>
        <w:keepLines w:val="0"/>
        <w:pageBreakBefore w:val="0"/>
        <w:widowControl w:val="0"/>
        <w:kinsoku/>
        <w:wordWrap/>
        <w:overflowPunct/>
        <w:topLinePunct w:val="0"/>
        <w:autoSpaceDE/>
        <w:autoSpaceDN/>
        <w:bidi w:val="0"/>
        <w:adjustRightInd/>
        <w:snapToGrid/>
        <w:spacing w:afterLines="0" w:line="560" w:lineRule="exact"/>
        <w:ind w:firstLine="640" w:firstLineChars="200"/>
        <w:textAlignment w:val="auto"/>
        <w:rPr>
          <w:rFonts w:hint="default" w:ascii="Times New Roman" w:hAnsi="Times New Roman" w:eastAsia="黑体" w:cs="Times New Roman"/>
          <w:b w:val="0"/>
          <w:bCs w:val="0"/>
          <w:sz w:val="32"/>
          <w:szCs w:val="32"/>
          <w:lang w:val="en-US" w:eastAsia="zh-CN"/>
        </w:rPr>
      </w:pPr>
      <w:r>
        <w:rPr>
          <w:rFonts w:hint="eastAsia" w:ascii="仿宋" w:hAnsi="仿宋" w:eastAsia="仿宋"/>
          <w:sz w:val="32"/>
          <w:szCs w:val="32"/>
        </w:rPr>
        <w:t>长春市知识产权工作在市委、市政府的正确领导和国家、省知识产权局的大力支持下，深入学习</w:t>
      </w:r>
      <w:r>
        <w:rPr>
          <w:rFonts w:hint="eastAsia" w:ascii="仿宋" w:hAnsi="仿宋" w:eastAsia="仿宋" w:cs="仿宋_GB2312"/>
          <w:sz w:val="32"/>
          <w:szCs w:val="32"/>
        </w:rPr>
        <w:t>贯彻习近平总书记系列重要讲话精神，</w:t>
      </w:r>
      <w:r>
        <w:rPr>
          <w:rFonts w:hint="eastAsia" w:ascii="仿宋" w:hAnsi="仿宋" w:eastAsia="仿宋"/>
          <w:sz w:val="32"/>
          <w:szCs w:val="32"/>
        </w:rPr>
        <w:t>紧紧围绕国家知识产权</w:t>
      </w:r>
      <w:r>
        <w:rPr>
          <w:rFonts w:hint="eastAsia" w:ascii="仿宋" w:hAnsi="仿宋" w:eastAsia="仿宋"/>
          <w:sz w:val="32"/>
          <w:szCs w:val="32"/>
          <w:lang w:eastAsia="zh-CN"/>
        </w:rPr>
        <w:t>强</w:t>
      </w:r>
      <w:r>
        <w:rPr>
          <w:rFonts w:hint="eastAsia" w:ascii="仿宋" w:hAnsi="仿宋" w:eastAsia="仿宋"/>
          <w:sz w:val="32"/>
          <w:szCs w:val="32"/>
        </w:rPr>
        <w:t>市</w:t>
      </w:r>
      <w:r>
        <w:rPr>
          <w:rFonts w:hint="eastAsia" w:ascii="仿宋" w:hAnsi="仿宋" w:eastAsia="仿宋"/>
          <w:sz w:val="32"/>
          <w:szCs w:val="32"/>
          <w:lang w:eastAsia="zh-CN"/>
        </w:rPr>
        <w:t>、</w:t>
      </w:r>
      <w:r>
        <w:rPr>
          <w:rFonts w:hint="eastAsia" w:ascii="仿宋" w:hAnsi="仿宋" w:eastAsia="仿宋"/>
          <w:sz w:val="32"/>
          <w:szCs w:val="32"/>
        </w:rPr>
        <w:t>国家</w:t>
      </w:r>
      <w:r>
        <w:rPr>
          <w:rFonts w:hint="eastAsia" w:ascii="仿宋" w:hAnsi="仿宋" w:eastAsia="仿宋"/>
          <w:sz w:val="32"/>
          <w:szCs w:val="32"/>
          <w:lang w:eastAsia="zh-CN"/>
        </w:rPr>
        <w:t>知识产权保护示范区城市</w:t>
      </w:r>
      <w:r>
        <w:rPr>
          <w:rFonts w:hint="eastAsia" w:ascii="仿宋" w:hAnsi="仿宋" w:eastAsia="仿宋"/>
          <w:sz w:val="32"/>
          <w:szCs w:val="32"/>
        </w:rPr>
        <w:t>建设，强化知识产权创造、运用、保护，知识产权工作取得了长足进步。</w:t>
      </w:r>
    </w:p>
    <w:p>
      <w:pPr>
        <w:keepNext w:val="0"/>
        <w:keepLines w:val="0"/>
        <w:pageBreakBefore w:val="0"/>
        <w:widowControl w:val="0"/>
        <w:kinsoku/>
        <w:wordWrap/>
        <w:overflowPunct/>
        <w:topLinePunct w:val="0"/>
        <w:autoSpaceDE/>
        <w:autoSpaceDN/>
        <w:bidi w:val="0"/>
        <w:adjustRightInd/>
        <w:snapToGrid/>
        <w:spacing w:afterLines="0" w:line="560" w:lineRule="exact"/>
        <w:ind w:firstLine="640" w:firstLineChars="2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一、提升专利评估评价水平</w:t>
      </w:r>
      <w:r>
        <w:rPr>
          <w:rFonts w:hint="eastAsia" w:ascii="Times New Roman" w:hAnsi="Times New Roman" w:eastAsia="黑体" w:cs="Times New Roman"/>
          <w:b w:val="0"/>
          <w:bCs w:val="0"/>
          <w:sz w:val="32"/>
          <w:szCs w:val="32"/>
          <w:lang w:val="en-US" w:eastAsia="zh-CN"/>
        </w:rPr>
        <w:t>方面</w:t>
      </w:r>
    </w:p>
    <w:p>
      <w:pPr>
        <w:keepNext w:val="0"/>
        <w:keepLines w:val="0"/>
        <w:pageBreakBefore w:val="0"/>
        <w:widowControl w:val="0"/>
        <w:numPr>
          <w:ilvl w:val="0"/>
          <w:numId w:val="0"/>
        </w:numPr>
        <w:kinsoku/>
        <w:wordWrap/>
        <w:overflowPunct/>
        <w:topLinePunct w:val="0"/>
        <w:autoSpaceDE/>
        <w:autoSpaceDN/>
        <w:bidi w:val="0"/>
        <w:adjustRightInd/>
        <w:snapToGrid/>
        <w:spacing w:afterLines="0" w:line="560" w:lineRule="exact"/>
        <w:ind w:firstLine="640" w:firstLineChars="200"/>
        <w:textAlignment w:val="auto"/>
        <w:rPr>
          <w:rFonts w:hint="default" w:ascii="Times New Roman" w:hAnsi="Times New Roman" w:eastAsia="仿宋" w:cs="Times New Roman"/>
          <w:sz w:val="32"/>
          <w:szCs w:val="32"/>
        </w:rPr>
      </w:pPr>
      <w:r>
        <w:rPr>
          <w:rFonts w:hint="eastAsia" w:ascii="楷体" w:hAnsi="楷体" w:eastAsia="楷体" w:cs="楷体"/>
          <w:b w:val="0"/>
          <w:bCs w:val="0"/>
          <w:sz w:val="32"/>
          <w:szCs w:val="32"/>
          <w:lang w:val="en-US" w:eastAsia="zh-CN"/>
        </w:rPr>
        <w:t>资产评估系统引进与应用。</w:t>
      </w:r>
      <w:r>
        <w:rPr>
          <w:rFonts w:hint="default" w:ascii="Times New Roman" w:hAnsi="Times New Roman" w:eastAsia="仿宋" w:cs="Times New Roman"/>
          <w:sz w:val="32"/>
          <w:szCs w:val="32"/>
          <w:lang w:val="en-US" w:eastAsia="zh-CN"/>
        </w:rPr>
        <w:t>为了更科学精准地对高校、企业的专利进行评估，长春市市场监督管理局同知识产权出版社有限责任公司签订战略合作协议，引进资产评估系统。评估系统是</w:t>
      </w:r>
      <w:r>
        <w:rPr>
          <w:rFonts w:hint="default" w:ascii="Times New Roman" w:hAnsi="Times New Roman" w:eastAsia="仿宋" w:cs="Times New Roman"/>
          <w:sz w:val="32"/>
          <w:szCs w:val="32"/>
        </w:rPr>
        <w:t>基于中国专利大数据，针对中国专利特点设置了包括技术维度，法律维度，经济维度的价值评估指标体系，并在传统统计型指标的基础上，引入基于技术特征挖掘的指标，采用业内先进的评估手段构建数学模型，利用完全自动化的数据分析方法，来评估专利的相对价值。</w:t>
      </w:r>
    </w:p>
    <w:p>
      <w:pPr>
        <w:keepNext w:val="0"/>
        <w:keepLines w:val="0"/>
        <w:pageBreakBefore w:val="0"/>
        <w:widowControl w:val="0"/>
        <w:numPr>
          <w:ilvl w:val="0"/>
          <w:numId w:val="0"/>
        </w:numPr>
        <w:kinsoku/>
        <w:wordWrap/>
        <w:overflowPunct/>
        <w:topLinePunct w:val="0"/>
        <w:autoSpaceDE/>
        <w:autoSpaceDN/>
        <w:bidi w:val="0"/>
        <w:adjustRightInd/>
        <w:snapToGrid/>
        <w:spacing w:afterLines="0" w:line="560" w:lineRule="exact"/>
        <w:ind w:firstLine="640" w:firstLineChars="200"/>
        <w:textAlignment w:val="auto"/>
        <w:rPr>
          <w:rFonts w:hint="default" w:ascii="Times New Roman" w:hAnsi="Times New Roman" w:eastAsia="仿宋" w:cs="Times New Roman"/>
          <w:sz w:val="32"/>
          <w:szCs w:val="32"/>
          <w:lang w:val="en-US" w:eastAsia="zh-CN"/>
        </w:rPr>
      </w:pPr>
      <w:r>
        <w:rPr>
          <w:rFonts w:hint="eastAsia" w:ascii="楷体" w:hAnsi="楷体" w:eastAsia="楷体" w:cs="楷体"/>
          <w:b w:val="0"/>
          <w:bCs w:val="0"/>
          <w:sz w:val="32"/>
          <w:szCs w:val="32"/>
          <w:lang w:val="en-US" w:eastAsia="zh-CN"/>
        </w:rPr>
        <w:t>专利转化推动与资源共享。</w:t>
      </w:r>
      <w:r>
        <w:rPr>
          <w:rFonts w:hint="default" w:ascii="Times New Roman" w:hAnsi="Times New Roman" w:eastAsia="仿宋" w:cs="Times New Roman"/>
          <w:sz w:val="32"/>
          <w:szCs w:val="32"/>
          <w:lang w:val="en-US" w:eastAsia="zh-CN"/>
        </w:rPr>
        <w:t>长春市市场监督管理局积极贯彻落实《专利转化运用专项行动方案（2023—2025年）》，组织全市高校、专精特新企业及服务机构参与国家专题培训，推动专利转化。同时，着力组织高校进行专利盘点，并将专利信息上架国家专利导航综合服务平台，促进专利资源的有效利用和共享。</w:t>
      </w:r>
    </w:p>
    <w:p>
      <w:pPr>
        <w:keepNext w:val="0"/>
        <w:keepLines w:val="0"/>
        <w:pageBreakBefore w:val="0"/>
        <w:widowControl w:val="0"/>
        <w:kinsoku/>
        <w:wordWrap/>
        <w:overflowPunct/>
        <w:topLinePunct w:val="0"/>
        <w:autoSpaceDE/>
        <w:autoSpaceDN/>
        <w:bidi w:val="0"/>
        <w:adjustRightInd/>
        <w:snapToGrid/>
        <w:spacing w:afterLines="0" w:line="560" w:lineRule="exact"/>
        <w:ind w:firstLine="640" w:firstLineChars="200"/>
        <w:textAlignment w:val="auto"/>
        <w:rPr>
          <w:rFonts w:hint="default" w:ascii="Times New Roman" w:hAnsi="Times New Roman" w:eastAsia="仿宋" w:cs="Times New Roman"/>
          <w:sz w:val="32"/>
          <w:szCs w:val="32"/>
          <w:lang w:val="en-US" w:eastAsia="zh-CN"/>
        </w:rPr>
      </w:pPr>
      <w:r>
        <w:rPr>
          <w:rFonts w:hint="eastAsia" w:ascii="楷体" w:hAnsi="楷体" w:eastAsia="楷体" w:cs="楷体"/>
          <w:b w:val="0"/>
          <w:bCs w:val="0"/>
          <w:sz w:val="32"/>
          <w:szCs w:val="32"/>
          <w:lang w:val="en-US" w:eastAsia="zh-CN"/>
        </w:rPr>
        <w:t>平台开发与精准对接。</w:t>
      </w:r>
      <w:r>
        <w:rPr>
          <w:rFonts w:hint="eastAsia" w:ascii="仿宋_GB2312" w:hAnsi="仿宋_GB2312" w:eastAsia="仿宋_GB2312" w:cs="仿宋_GB2312"/>
          <w:sz w:val="32"/>
          <w:szCs w:val="32"/>
          <w:lang w:val="en-US" w:eastAsia="zh-CN"/>
        </w:rPr>
        <w:t>开发知识产权服务+新场景应用平台，摸清企业技术资产底数与创新能力情况，实现各类企业与高校院所可运营专利的精准匹配，实现以专利产业化促进中小企业成长。推进重点产业知识产权强链增效，培育推广专利密集型产品。</w:t>
      </w:r>
    </w:p>
    <w:p>
      <w:pPr>
        <w:keepNext w:val="0"/>
        <w:keepLines w:val="0"/>
        <w:pageBreakBefore w:val="0"/>
        <w:widowControl w:val="0"/>
        <w:kinsoku/>
        <w:wordWrap/>
        <w:overflowPunct/>
        <w:topLinePunct w:val="0"/>
        <w:autoSpaceDE/>
        <w:autoSpaceDN/>
        <w:bidi w:val="0"/>
        <w:adjustRightInd/>
        <w:snapToGrid/>
        <w:spacing w:afterLines="0" w:line="560" w:lineRule="exact"/>
        <w:ind w:firstLine="640" w:firstLineChars="2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二、提高高价值专利培育能力</w:t>
      </w:r>
      <w:r>
        <w:rPr>
          <w:rFonts w:hint="eastAsia" w:ascii="Times New Roman" w:hAnsi="Times New Roman" w:eastAsia="黑体" w:cs="Times New Roman"/>
          <w:b w:val="0"/>
          <w:bCs w:val="0"/>
          <w:sz w:val="32"/>
          <w:szCs w:val="32"/>
          <w:lang w:val="en-US" w:eastAsia="zh-CN"/>
        </w:rPr>
        <w:t>方面</w:t>
      </w:r>
    </w:p>
    <w:p>
      <w:pPr>
        <w:keepNext w:val="0"/>
        <w:keepLines w:val="0"/>
        <w:pageBreakBefore w:val="0"/>
        <w:widowControl w:val="0"/>
        <w:kinsoku/>
        <w:wordWrap/>
        <w:overflowPunct/>
        <w:topLinePunct w:val="0"/>
        <w:autoSpaceDE/>
        <w:autoSpaceDN/>
        <w:bidi w:val="0"/>
        <w:adjustRightInd/>
        <w:snapToGrid/>
        <w:spacing w:afterLines="0" w:line="560" w:lineRule="exact"/>
        <w:ind w:firstLine="640" w:firstLineChars="200"/>
        <w:textAlignment w:val="auto"/>
        <w:rPr>
          <w:rFonts w:hint="default" w:ascii="Times New Roman" w:hAnsi="Times New Roman" w:eastAsia="仿宋" w:cs="Times New Roman"/>
          <w:b w:val="0"/>
          <w:bCs w:val="0"/>
          <w:sz w:val="32"/>
          <w:szCs w:val="32"/>
          <w:lang w:val="en-US" w:eastAsia="zh-CN"/>
        </w:rPr>
      </w:pPr>
      <w:r>
        <w:rPr>
          <w:rFonts w:hint="eastAsia" w:ascii="楷体" w:hAnsi="楷体" w:eastAsia="楷体" w:cs="楷体"/>
          <w:b w:val="0"/>
          <w:bCs w:val="0"/>
          <w:sz w:val="32"/>
          <w:szCs w:val="32"/>
          <w:lang w:val="en-US" w:eastAsia="zh-CN"/>
        </w:rPr>
        <w:t>高价值专利培育项目实施。</w:t>
      </w:r>
      <w:r>
        <w:rPr>
          <w:rFonts w:hint="default" w:ascii="Times New Roman" w:hAnsi="Times New Roman" w:eastAsia="仿宋" w:cs="Times New Roman"/>
          <w:b w:val="0"/>
          <w:bCs w:val="0"/>
          <w:sz w:val="32"/>
          <w:szCs w:val="32"/>
          <w:lang w:val="en-US" w:eastAsia="zh-CN"/>
        </w:rPr>
        <w:t>长春市市场监督管理局积极构建知识产权运营服务体系，成功开展了二批次高价值专利组合培育项目。经过严格筛选和专家审核，共立项28项，每个项目补助资金30万元，资金总计840万元。预计可培育出高价值发明专利共计420件。为确保项目质量和效益，长春市市场监督管理局对立项预提交的专利进行</w:t>
      </w:r>
      <w:r>
        <w:rPr>
          <w:rFonts w:hint="eastAsia" w:ascii="Times New Roman" w:hAnsi="Times New Roman" w:eastAsia="仿宋" w:cs="Times New Roman"/>
          <w:b w:val="0"/>
          <w:bCs w:val="0"/>
          <w:sz w:val="32"/>
          <w:szCs w:val="32"/>
          <w:lang w:val="en-US" w:eastAsia="zh-CN"/>
        </w:rPr>
        <w:t>专利申请前预</w:t>
      </w:r>
      <w:r>
        <w:rPr>
          <w:rFonts w:hint="default" w:ascii="Times New Roman" w:hAnsi="Times New Roman" w:eastAsia="仿宋" w:cs="Times New Roman"/>
          <w:b w:val="0"/>
          <w:bCs w:val="0"/>
          <w:sz w:val="32"/>
          <w:szCs w:val="32"/>
          <w:lang w:val="en-US" w:eastAsia="zh-CN"/>
        </w:rPr>
        <w:t>评估，对评估结果为C、D级别的发明专利，要求项目承担单位重新提交</w:t>
      </w:r>
      <w:r>
        <w:rPr>
          <w:rFonts w:hint="eastAsia" w:ascii="Times New Roman" w:hAnsi="Times New Roman" w:eastAsia="仿宋" w:cs="Times New Roman"/>
          <w:b w:val="0"/>
          <w:bCs w:val="0"/>
          <w:sz w:val="32"/>
          <w:szCs w:val="32"/>
          <w:lang w:val="en-US" w:eastAsia="zh-CN"/>
        </w:rPr>
        <w:t>，保证专利质量。</w:t>
      </w:r>
    </w:p>
    <w:p>
      <w:pPr>
        <w:keepNext w:val="0"/>
        <w:keepLines w:val="0"/>
        <w:pageBreakBefore w:val="0"/>
        <w:widowControl w:val="0"/>
        <w:kinsoku/>
        <w:wordWrap/>
        <w:overflowPunct/>
        <w:topLinePunct w:val="0"/>
        <w:autoSpaceDE/>
        <w:autoSpaceDN/>
        <w:bidi w:val="0"/>
        <w:adjustRightInd/>
        <w:snapToGrid/>
        <w:spacing w:afterLines="0" w:line="560" w:lineRule="exact"/>
        <w:ind w:firstLine="640" w:firstLineChars="200"/>
        <w:textAlignment w:val="auto"/>
        <w:rPr>
          <w:rFonts w:hint="default" w:ascii="Times New Roman" w:hAnsi="Times New Roman" w:eastAsia="黑体" w:cs="Times New Roman"/>
          <w:b w:val="0"/>
          <w:bCs w:val="0"/>
          <w:sz w:val="32"/>
          <w:szCs w:val="32"/>
          <w:lang w:val="en-US" w:eastAsia="zh-CN"/>
        </w:rPr>
      </w:pPr>
      <w:r>
        <w:rPr>
          <w:rFonts w:hint="eastAsia" w:ascii="楷体" w:hAnsi="楷体" w:eastAsia="楷体" w:cs="楷体"/>
          <w:b w:val="0"/>
          <w:bCs w:val="0"/>
          <w:sz w:val="32"/>
          <w:szCs w:val="32"/>
          <w:lang w:val="en-US" w:eastAsia="zh-CN"/>
        </w:rPr>
        <w:t>加强知识产权管理评估意识。</w:t>
      </w:r>
      <w:r>
        <w:rPr>
          <w:rFonts w:hint="default" w:ascii="Times New Roman" w:hAnsi="Times New Roman" w:eastAsia="仿宋" w:cs="Times New Roman"/>
          <w:sz w:val="32"/>
          <w:szCs w:val="32"/>
          <w:lang w:val="en-US" w:eastAsia="zh-CN"/>
        </w:rPr>
        <w:t>为进一步加强知识产权管理，提升长春市高校院所在专利申请前预评估意识，长春市市场监督管理局与知识产权出版社有限责任公司达成战略合作协议，引进先进的专利</w:t>
      </w:r>
      <w:r>
        <w:rPr>
          <w:rFonts w:hint="eastAsia" w:ascii="Times New Roman" w:hAnsi="Times New Roman" w:eastAsia="仿宋" w:cs="Times New Roman"/>
          <w:sz w:val="32"/>
          <w:szCs w:val="32"/>
          <w:lang w:val="en-US" w:eastAsia="zh-CN"/>
        </w:rPr>
        <w:t>申请前预</w:t>
      </w:r>
      <w:r>
        <w:rPr>
          <w:rFonts w:hint="default" w:ascii="Times New Roman" w:hAnsi="Times New Roman" w:eastAsia="仿宋" w:cs="Times New Roman"/>
          <w:sz w:val="32"/>
          <w:szCs w:val="32"/>
          <w:lang w:val="en-US" w:eastAsia="zh-CN"/>
        </w:rPr>
        <w:t>评估系统，并在全市范围内进行推广应用。此次专利评估系统的引进，旨在通过科学、高效的评估手段，为长春市的高校院所提供全面、准确的专利价值分析，为其在科技创新成果的商业化进程中提供有力支持。同时，这一举措也将有力推动长春市专利技术的转化和应用，为全市经济社会发展注入新的活力。</w:t>
      </w:r>
    </w:p>
    <w:p>
      <w:pPr>
        <w:keepNext w:val="0"/>
        <w:keepLines w:val="0"/>
        <w:pageBreakBefore w:val="0"/>
        <w:widowControl w:val="0"/>
        <w:kinsoku/>
        <w:wordWrap/>
        <w:overflowPunct/>
        <w:topLinePunct w:val="0"/>
        <w:autoSpaceDE/>
        <w:autoSpaceDN/>
        <w:bidi w:val="0"/>
        <w:adjustRightInd/>
        <w:snapToGrid/>
        <w:spacing w:afterLines="0" w:line="560" w:lineRule="exact"/>
        <w:ind w:firstLine="640" w:firstLineChars="200"/>
        <w:textAlignment w:val="auto"/>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三、完善中介服务机构体系</w:t>
      </w:r>
      <w:r>
        <w:rPr>
          <w:rFonts w:hint="eastAsia" w:ascii="Times New Roman" w:hAnsi="Times New Roman" w:eastAsia="黑体" w:cs="Times New Roman"/>
          <w:b w:val="0"/>
          <w:bCs w:val="0"/>
          <w:sz w:val="32"/>
          <w:szCs w:val="32"/>
          <w:lang w:val="en-US" w:eastAsia="zh-CN"/>
        </w:rPr>
        <w:t>方面</w:t>
      </w:r>
    </w:p>
    <w:p>
      <w:pPr>
        <w:keepNext w:val="0"/>
        <w:keepLines w:val="0"/>
        <w:pageBreakBefore w:val="0"/>
        <w:widowControl w:val="0"/>
        <w:kinsoku/>
        <w:wordWrap/>
        <w:overflowPunct/>
        <w:topLinePunct w:val="0"/>
        <w:autoSpaceDE/>
        <w:autoSpaceDN/>
        <w:bidi w:val="0"/>
        <w:adjustRightInd/>
        <w:snapToGrid/>
        <w:spacing w:afterLines="0" w:line="560" w:lineRule="exact"/>
        <w:ind w:firstLine="640" w:firstLineChars="200"/>
        <w:textAlignment w:val="auto"/>
        <w:rPr>
          <w:rFonts w:hint="default" w:ascii="Times New Roman" w:hAnsi="Times New Roman" w:eastAsia="方正仿宋_GB2312" w:cs="Times New Roman"/>
          <w:sz w:val="32"/>
          <w:szCs w:val="32"/>
          <w:lang w:eastAsia="zh-Hans"/>
        </w:rPr>
      </w:pPr>
      <w:r>
        <w:rPr>
          <w:rFonts w:hint="eastAsia" w:ascii="楷体" w:hAnsi="楷体" w:eastAsia="楷体" w:cs="楷体"/>
          <w:b w:val="0"/>
          <w:bCs w:val="0"/>
          <w:sz w:val="32"/>
          <w:szCs w:val="32"/>
          <w:lang w:val="en-US" w:eastAsia="zh-CN"/>
        </w:rPr>
        <w:t>知识产权服务业集聚区构建。</w:t>
      </w:r>
      <w:r>
        <w:rPr>
          <w:rFonts w:hint="default" w:ascii="Times New Roman" w:hAnsi="Times New Roman" w:eastAsia="仿宋" w:cs="Times New Roman"/>
          <w:b w:val="0"/>
          <w:bCs w:val="0"/>
          <w:sz w:val="32"/>
          <w:szCs w:val="32"/>
          <w:lang w:val="en-US" w:eastAsia="zh-CN"/>
        </w:rPr>
        <w:t>长春市市场监督管理局大力建设长春知识产权服务业集聚区，并于2023年，</w:t>
      </w:r>
      <w:r>
        <w:rPr>
          <w:rFonts w:hint="default" w:ascii="Times New Roman" w:hAnsi="Times New Roman" w:eastAsia="方正仿宋_GB2312" w:cs="Times New Roman"/>
          <w:sz w:val="32"/>
          <w:szCs w:val="32"/>
          <w:lang w:val="en-US" w:eastAsia="zh-Hans"/>
        </w:rPr>
        <w:t>获批</w:t>
      </w:r>
      <w:r>
        <w:rPr>
          <w:rFonts w:hint="default" w:ascii="Times New Roman" w:hAnsi="Times New Roman" w:eastAsia="方正仿宋_GB2312" w:cs="Times New Roman"/>
          <w:sz w:val="32"/>
          <w:szCs w:val="32"/>
          <w:lang w:val="en-US" w:eastAsia="zh-CN"/>
        </w:rPr>
        <w:t>国家知识产权服务业高质量集聚发展试验区。截至目前</w:t>
      </w:r>
      <w:r>
        <w:rPr>
          <w:rFonts w:hint="default" w:ascii="Times New Roman" w:hAnsi="Times New Roman" w:eastAsia="仿宋" w:cs="Times New Roman"/>
          <w:b w:val="0"/>
          <w:bCs w:val="0"/>
          <w:sz w:val="32"/>
          <w:szCs w:val="32"/>
          <w:lang w:val="en-US" w:eastAsia="zh-CN"/>
        </w:rPr>
        <w:t>，</w:t>
      </w:r>
      <w:r>
        <w:rPr>
          <w:rFonts w:hint="default" w:ascii="Times New Roman" w:hAnsi="Times New Roman" w:eastAsia="仿宋" w:cs="Times New Roman"/>
          <w:sz w:val="32"/>
          <w:szCs w:val="32"/>
          <w:lang w:val="en-US" w:eastAsia="zh-CN"/>
        </w:rPr>
        <w:t>集聚区已备案各类知识产权服务机构96家。其中，省级知识产权信息服务网点单位6家，国家级技术转移示范机构1家，省级技术转移示范机构11家，技术与创新支持中心（TISC）2家，省市级知识产权维权援助示范服务站4家，省级专利导航示范基地4家，市级专利导航示范基地11家，高价值专利培育示范中心11家</w:t>
      </w:r>
      <w:r>
        <w:rPr>
          <w:rFonts w:hint="default" w:ascii="Times New Roman" w:hAnsi="Times New Roman" w:eastAsia="方正仿宋_GB2312" w:cs="Times New Roman"/>
          <w:sz w:val="32"/>
          <w:szCs w:val="32"/>
          <w:lang w:eastAsia="zh-Hans"/>
        </w:rPr>
        <w:t>。2023年，集聚区内服务机构收入达到8090万元，同比增长117%。服务机构全年共服务长春市科技型企业6351家，包含国家、省、市级专精特新企业423家，高新技术企业1058家，服务范围覆盖长春市企业创新主体的75%以上。</w:t>
      </w:r>
    </w:p>
    <w:p>
      <w:pPr>
        <w:keepNext w:val="0"/>
        <w:keepLines w:val="0"/>
        <w:pageBreakBefore w:val="0"/>
        <w:widowControl w:val="0"/>
        <w:kinsoku/>
        <w:wordWrap/>
        <w:overflowPunct/>
        <w:topLinePunct w:val="0"/>
        <w:autoSpaceDE/>
        <w:autoSpaceDN/>
        <w:bidi w:val="0"/>
        <w:adjustRightInd/>
        <w:snapToGrid/>
        <w:spacing w:afterLines="0" w:line="560" w:lineRule="exact"/>
        <w:ind w:firstLine="640" w:firstLineChars="200"/>
        <w:textAlignment w:val="auto"/>
        <w:rPr>
          <w:rFonts w:hint="default" w:ascii="Times New Roman" w:hAnsi="Times New Roman" w:eastAsia="方正仿宋_GB2312" w:cs="Times New Roman"/>
          <w:sz w:val="32"/>
          <w:szCs w:val="40"/>
          <w:highlight w:val="none"/>
          <w:lang w:val="en-US" w:eastAsia="zh-CN"/>
        </w:rPr>
      </w:pPr>
      <w:r>
        <w:rPr>
          <w:rFonts w:hint="eastAsia" w:ascii="楷体" w:hAnsi="楷体" w:eastAsia="楷体" w:cs="楷体"/>
          <w:b w:val="0"/>
          <w:bCs w:val="0"/>
          <w:sz w:val="32"/>
          <w:szCs w:val="32"/>
          <w:lang w:val="en-US" w:eastAsia="zh-CN"/>
        </w:rPr>
        <w:t>知识产权运营服务中心建设。</w:t>
      </w:r>
      <w:r>
        <w:rPr>
          <w:rFonts w:hint="default" w:ascii="Times New Roman" w:hAnsi="Times New Roman" w:eastAsia="方正仿宋_GB2312" w:cs="Times New Roman"/>
          <w:sz w:val="32"/>
          <w:szCs w:val="40"/>
          <w:lang w:val="en-US" w:eastAsia="zh-CN"/>
        </w:rPr>
        <w:t>长春市市场监督管理局为进一步强化知识产权保护和运营工作，经过深入调研及专家评审，决定依法设立四家专业知识产权运营服务中心，拨付运营经费2500万元。这些中心将分别围绕光电信息、新材料、数字经济和现代农业产业等关键领域展开工作，以促进知识产权的有效转化和应用。光电信息知识产权产业运营服务中心通过打造“知识产权+产业+资本+机构+人才”一体化融合发展模式，建设形成技术、资本、人才等要素精准对接、智能匹配的知识产权要素市场，力争成为引领全国光电信息产业创新发展的重要力量。</w:t>
      </w:r>
      <w:r>
        <w:rPr>
          <w:rFonts w:hint="default" w:ascii="Times New Roman" w:hAnsi="Times New Roman" w:eastAsia="方正仿宋_GB2312" w:cs="Times New Roman"/>
          <w:b w:val="0"/>
          <w:bCs w:val="0"/>
          <w:kern w:val="2"/>
          <w:sz w:val="32"/>
          <w:szCs w:val="32"/>
          <w:lang w:val="en-US" w:eastAsia="zh-CN" w:bidi="ar-SA"/>
        </w:rPr>
        <w:t>新材料产业</w:t>
      </w:r>
      <w:r>
        <w:rPr>
          <w:rFonts w:hint="default" w:ascii="Times New Roman" w:hAnsi="Times New Roman" w:eastAsia="方正仿宋_GB2312" w:cs="Times New Roman"/>
          <w:b w:val="0"/>
          <w:bCs w:val="0"/>
          <w:kern w:val="2"/>
          <w:sz w:val="32"/>
          <w:szCs w:val="32"/>
          <w:lang w:val="en-US" w:eastAsia="zh-Hans" w:bidi="ar-SA"/>
        </w:rPr>
        <w:t>知识产权</w:t>
      </w:r>
      <w:r>
        <w:rPr>
          <w:rFonts w:hint="default" w:ascii="Times New Roman" w:hAnsi="Times New Roman" w:eastAsia="方正仿宋_GB2312" w:cs="Times New Roman"/>
          <w:b w:val="0"/>
          <w:bCs w:val="0"/>
          <w:kern w:val="2"/>
          <w:sz w:val="32"/>
          <w:szCs w:val="32"/>
          <w:lang w:val="en-US" w:eastAsia="zh-CN" w:bidi="ar-SA"/>
        </w:rPr>
        <w:t>运营</w:t>
      </w:r>
      <w:r>
        <w:rPr>
          <w:rFonts w:hint="default" w:ascii="Times New Roman" w:hAnsi="Times New Roman" w:eastAsia="方正仿宋_GB2312" w:cs="Times New Roman"/>
          <w:b w:val="0"/>
          <w:bCs w:val="0"/>
          <w:kern w:val="2"/>
          <w:sz w:val="32"/>
          <w:szCs w:val="32"/>
          <w:lang w:val="en-US" w:eastAsia="zh-Hans" w:bidi="ar-SA"/>
        </w:rPr>
        <w:t>服务</w:t>
      </w:r>
      <w:r>
        <w:rPr>
          <w:rFonts w:hint="default" w:ascii="Times New Roman" w:hAnsi="Times New Roman" w:eastAsia="方正仿宋_GB2312" w:cs="Times New Roman"/>
          <w:b w:val="0"/>
          <w:bCs w:val="0"/>
          <w:kern w:val="2"/>
          <w:sz w:val="32"/>
          <w:szCs w:val="32"/>
          <w:lang w:val="en-US" w:eastAsia="zh-CN" w:bidi="ar-SA"/>
        </w:rPr>
        <w:t>通过建设</w:t>
      </w:r>
      <w:r>
        <w:rPr>
          <w:rFonts w:hint="default" w:ascii="Times New Roman" w:hAnsi="Times New Roman" w:eastAsia="方正仿宋_GB2312" w:cs="Times New Roman"/>
          <w:sz w:val="32"/>
          <w:szCs w:val="40"/>
          <w:lang w:val="en-US" w:eastAsia="zh-CN"/>
        </w:rPr>
        <w:t>“四个平台+一个数据库”的全新产业知识产权运营服务体系，聚力打造为集创造、运用、保护、管理、服务为一体的知识产权服务主阵地，更好地服务全市科技成果转化。由摆渡创新工场与浙江人工智能产业运营服务中心共建的数字经济产业知识产权运营服务中心通过组建产业知识产权联盟，提升数字经济产业知识产权供给能力，发挥浙江省数字化产业优势，助力长春新区实体产业升级发展。鸿翔种业与长春农高集团共同建设的现代化农业知识产权运营中心，凭借其优势，致力于培育特色农产品商标，持续拓宽品牌农产</w:t>
      </w:r>
      <w:r>
        <w:rPr>
          <w:rFonts w:hint="default" w:ascii="Times New Roman" w:hAnsi="Times New Roman" w:eastAsia="方正仿宋_GB2312" w:cs="Times New Roman"/>
          <w:sz w:val="32"/>
          <w:szCs w:val="40"/>
          <w:highlight w:val="none"/>
          <w:lang w:val="en-US" w:eastAsia="zh-CN"/>
        </w:rPr>
        <w:t>品销售途径，为吉林省乡村振兴贡献力量。</w:t>
      </w:r>
    </w:p>
    <w:p>
      <w:pPr>
        <w:keepNext w:val="0"/>
        <w:keepLines w:val="0"/>
        <w:pageBreakBefore w:val="0"/>
        <w:widowControl w:val="0"/>
        <w:kinsoku/>
        <w:wordWrap/>
        <w:overflowPunct/>
        <w:topLinePunct w:val="0"/>
        <w:autoSpaceDE/>
        <w:autoSpaceDN/>
        <w:bidi w:val="0"/>
        <w:adjustRightInd/>
        <w:snapToGrid/>
        <w:spacing w:afterLines="0" w:line="560" w:lineRule="exact"/>
        <w:ind w:firstLine="640" w:firstLineChars="200"/>
        <w:textAlignment w:val="auto"/>
        <w:rPr>
          <w:rFonts w:hint="eastAsia" w:ascii="Times New Roman" w:hAnsi="Times New Roman" w:eastAsia="仿宋" w:cs="Times New Roman"/>
          <w:sz w:val="32"/>
          <w:szCs w:val="32"/>
          <w:lang w:val="en-US" w:eastAsia="zh-CN"/>
        </w:rPr>
      </w:pPr>
      <w:r>
        <w:rPr>
          <w:rFonts w:hint="eastAsia" w:ascii="楷体" w:hAnsi="楷体" w:eastAsia="楷体" w:cs="楷体"/>
          <w:b w:val="0"/>
          <w:bCs w:val="0"/>
          <w:sz w:val="32"/>
          <w:szCs w:val="32"/>
          <w:lang w:val="en-US" w:eastAsia="zh-CN"/>
        </w:rPr>
        <w:t>知识产权宣传力度不断加大。</w:t>
      </w:r>
      <w:r>
        <w:rPr>
          <w:rFonts w:hint="default" w:ascii="Times New Roman" w:hAnsi="Times New Roman" w:eastAsia="仿宋" w:cs="Times New Roman"/>
          <w:sz w:val="32"/>
          <w:szCs w:val="32"/>
          <w:lang w:val="en-US" w:eastAsia="zh-CN"/>
        </w:rPr>
        <w:t>为进一步提升全民知识产权意识，营造良好知识产权保护氛围，长春市市场监督管理局与长春市电视台紧密合作，共同策划制作了知识产权宣传片。该片展示长春市在知识产权保护方面的坚定决心和显著成效，同时宣传一批在知识产权保护工作中表现突出的优秀企业和机构。</w:t>
      </w:r>
      <w:r>
        <w:rPr>
          <w:rFonts w:hint="eastAsia" w:ascii="Times New Roman" w:hAnsi="Times New Roman" w:eastAsia="仿宋" w:cs="Times New Roman"/>
          <w:sz w:val="32"/>
          <w:szCs w:val="32"/>
          <w:lang w:val="en-US" w:eastAsia="zh-CN"/>
        </w:rPr>
        <w:t>长春知识产权服务业集聚区编制了《长春市知识产权运营服务体系建设项目统计分析报告（2022-2023）》《知识产权优秀案例汇编》及《服务机构介绍》等宣传资料，旨在全面总结长春市知识产权运营服务体系建设的成效，宣传推广知识产权保护与运用的成功经验，以及对集聚区内优秀服务机构的简介。</w:t>
      </w:r>
    </w:p>
    <w:p>
      <w:pPr>
        <w:keepNext w:val="0"/>
        <w:keepLines w:val="0"/>
        <w:pageBreakBefore w:val="0"/>
        <w:widowControl w:val="0"/>
        <w:kinsoku/>
        <w:wordWrap/>
        <w:overflowPunct/>
        <w:topLinePunct w:val="0"/>
        <w:autoSpaceDE/>
        <w:autoSpaceDN/>
        <w:bidi w:val="0"/>
        <w:adjustRightInd/>
        <w:snapToGrid/>
        <w:spacing w:afterLines="0" w:line="560" w:lineRule="exact"/>
        <w:ind w:firstLine="640" w:firstLineChars="200"/>
        <w:textAlignment w:val="auto"/>
        <w:rPr>
          <w:rFonts w:hint="default" w:ascii="Times New Roman" w:hAnsi="Times New Roman" w:eastAsia="仿宋" w:cs="Times New Roman"/>
          <w:sz w:val="32"/>
          <w:szCs w:val="32"/>
          <w:lang w:val="en-US" w:eastAsia="zh-CN"/>
        </w:rPr>
      </w:pPr>
      <w:r>
        <w:rPr>
          <w:rFonts w:hint="eastAsia" w:ascii="楷体" w:hAnsi="楷体" w:eastAsia="楷体" w:cs="楷体"/>
          <w:b w:val="0"/>
          <w:bCs w:val="0"/>
          <w:sz w:val="32"/>
          <w:szCs w:val="32"/>
          <w:lang w:val="en-US" w:eastAsia="zh-CN"/>
        </w:rPr>
        <w:t>引导机构促进成果转移转化。</w:t>
      </w:r>
      <w:r>
        <w:rPr>
          <w:rFonts w:hint="default" w:ascii="Times New Roman" w:hAnsi="Times New Roman" w:eastAsia="仿宋" w:cs="Times New Roman"/>
          <w:sz w:val="32"/>
          <w:szCs w:val="32"/>
          <w:lang w:val="en-US" w:eastAsia="zh-CN"/>
        </w:rPr>
        <w:t>为了促进专利成果转移转化，长春市市场监督管理局及长春新区分别开展专利技术转化奖励项目。其中长春市项目规定对技术合同中的专利交易部分提供资金奖补，奖补额度不高于技术合同金额的3%，单笔合同补贴额度不高于30万元。长春新区支持高校、科研院所和大中型企业核心专利技术在区内转移转化，经技术合同登记备案后，按双方技术合同交易额专利交易部分的0.5%对服务机构给予奖励，单笔合同奖励金额不超过10万元。</w:t>
      </w:r>
    </w:p>
    <w:p>
      <w:pPr>
        <w:spacing w:afterLines="0" w:line="560" w:lineRule="exact"/>
        <w:ind w:firstLine="640" w:firstLineChars="200"/>
        <w:rPr>
          <w:rFonts w:ascii="仿宋" w:hAnsi="仿宋" w:eastAsia="仿宋"/>
          <w:sz w:val="32"/>
          <w:szCs w:val="32"/>
        </w:rPr>
      </w:pPr>
      <w:r>
        <w:rPr>
          <w:rFonts w:ascii="仿宋" w:hAnsi="仿宋" w:eastAsia="仿宋"/>
          <w:sz w:val="32"/>
          <w:szCs w:val="32"/>
        </w:rPr>
        <w:t>以上答复您是否满意</w:t>
      </w:r>
      <w:r>
        <w:rPr>
          <w:rFonts w:hint="eastAsia" w:ascii="仿宋" w:hAnsi="仿宋" w:eastAsia="仿宋"/>
          <w:sz w:val="32"/>
          <w:szCs w:val="32"/>
        </w:rPr>
        <w:t>，</w:t>
      </w:r>
      <w:r>
        <w:rPr>
          <w:rFonts w:ascii="仿宋" w:hAnsi="仿宋" w:eastAsia="仿宋"/>
          <w:sz w:val="32"/>
          <w:szCs w:val="32"/>
        </w:rPr>
        <w:t>如有意见</w:t>
      </w:r>
      <w:r>
        <w:rPr>
          <w:rFonts w:hint="eastAsia" w:ascii="仿宋" w:hAnsi="仿宋" w:eastAsia="仿宋"/>
          <w:sz w:val="32"/>
          <w:szCs w:val="32"/>
        </w:rPr>
        <w:t>，</w:t>
      </w:r>
      <w:r>
        <w:rPr>
          <w:rFonts w:ascii="仿宋" w:hAnsi="仿宋" w:eastAsia="仿宋"/>
          <w:sz w:val="32"/>
          <w:szCs w:val="32"/>
        </w:rPr>
        <w:t>敬请反馈</w:t>
      </w:r>
      <w:r>
        <w:rPr>
          <w:rFonts w:hint="eastAsia" w:ascii="仿宋" w:hAnsi="仿宋" w:eastAsia="仿宋"/>
          <w:sz w:val="32"/>
          <w:szCs w:val="32"/>
        </w:rPr>
        <w:t>。</w:t>
      </w:r>
    </w:p>
    <w:p>
      <w:pPr>
        <w:spacing w:afterLines="0" w:line="560" w:lineRule="exact"/>
        <w:ind w:firstLine="640" w:firstLineChars="200"/>
        <w:rPr>
          <w:rFonts w:ascii="仿宋" w:hAnsi="仿宋" w:eastAsia="仿宋"/>
          <w:sz w:val="32"/>
          <w:szCs w:val="32"/>
        </w:rPr>
      </w:pPr>
      <w:r>
        <w:rPr>
          <w:rFonts w:ascii="仿宋" w:hAnsi="仿宋" w:eastAsia="仿宋"/>
          <w:sz w:val="32"/>
          <w:szCs w:val="32"/>
        </w:rPr>
        <w:t>感谢您对长春市知识产权工作的关心和支持</w:t>
      </w:r>
      <w:r>
        <w:rPr>
          <w:rFonts w:hint="eastAsia" w:ascii="仿宋" w:hAnsi="仿宋" w:eastAsia="仿宋"/>
          <w:sz w:val="32"/>
          <w:szCs w:val="32"/>
        </w:rPr>
        <w:t>，</w:t>
      </w:r>
      <w:r>
        <w:rPr>
          <w:rFonts w:ascii="仿宋" w:hAnsi="仿宋" w:eastAsia="仿宋"/>
          <w:sz w:val="32"/>
          <w:szCs w:val="32"/>
        </w:rPr>
        <w:t>并欢迎今后提出更多的宝贵意见</w:t>
      </w:r>
      <w:r>
        <w:rPr>
          <w:rFonts w:hint="eastAsia" w:ascii="仿宋" w:hAnsi="仿宋" w:eastAsia="仿宋"/>
          <w:sz w:val="32"/>
          <w:szCs w:val="32"/>
        </w:rPr>
        <w:t>。</w:t>
      </w:r>
    </w:p>
    <w:p>
      <w:pPr>
        <w:spacing w:afterLines="0" w:line="560" w:lineRule="exact"/>
        <w:ind w:firstLine="640" w:firstLineChars="200"/>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p>
    <w:p>
      <w:pPr>
        <w:spacing w:afterLines="0" w:line="560" w:lineRule="exact"/>
        <w:ind w:firstLine="640" w:firstLineChars="200"/>
        <w:rPr>
          <w:rFonts w:ascii="仿宋" w:hAnsi="仿宋" w:eastAsia="仿宋"/>
          <w:sz w:val="32"/>
          <w:szCs w:val="32"/>
        </w:rPr>
      </w:pPr>
      <w:r>
        <w:rPr>
          <w:rFonts w:ascii="仿宋" w:hAnsi="仿宋" w:eastAsia="仿宋"/>
          <w:sz w:val="32"/>
          <w:szCs w:val="32"/>
        </w:rPr>
        <w:t xml:space="preserve">                     </w:t>
      </w:r>
    </w:p>
    <w:p>
      <w:pPr>
        <w:spacing w:afterLines="0" w:line="560" w:lineRule="exact"/>
        <w:ind w:firstLine="3840" w:firstLineChars="1200"/>
        <w:rPr>
          <w:rFonts w:ascii="仿宋" w:hAnsi="仿宋" w:eastAsia="仿宋"/>
          <w:sz w:val="32"/>
          <w:szCs w:val="32"/>
        </w:rPr>
      </w:pPr>
      <w:r>
        <w:rPr>
          <w:rFonts w:ascii="仿宋" w:hAnsi="仿宋" w:eastAsia="仿宋"/>
          <w:sz w:val="32"/>
          <w:szCs w:val="32"/>
        </w:rPr>
        <w:t xml:space="preserve">   长春市</w:t>
      </w:r>
      <w:r>
        <w:rPr>
          <w:rFonts w:hint="eastAsia" w:ascii="仿宋" w:hAnsi="仿宋" w:eastAsia="仿宋"/>
          <w:sz w:val="32"/>
          <w:szCs w:val="32"/>
          <w:lang w:eastAsia="zh-CN"/>
        </w:rPr>
        <w:t>市场监督管理</w:t>
      </w:r>
      <w:r>
        <w:rPr>
          <w:rFonts w:ascii="仿宋" w:hAnsi="仿宋" w:eastAsia="仿宋"/>
          <w:sz w:val="32"/>
          <w:szCs w:val="32"/>
        </w:rPr>
        <w:t>局</w:t>
      </w:r>
    </w:p>
    <w:p>
      <w:pPr>
        <w:spacing w:afterLines="0" w:line="560" w:lineRule="exact"/>
        <w:ind w:firstLine="640" w:firstLineChars="200"/>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lang w:val="en-US" w:eastAsia="zh-CN"/>
        </w:rPr>
        <w:t>2024</w:t>
      </w:r>
      <w:r>
        <w:rPr>
          <w:rFonts w:ascii="仿宋" w:hAnsi="仿宋" w:eastAsia="仿宋"/>
          <w:sz w:val="32"/>
          <w:szCs w:val="32"/>
        </w:rPr>
        <w:t>年</w:t>
      </w:r>
      <w:r>
        <w:rPr>
          <w:rFonts w:hint="eastAsia" w:ascii="仿宋" w:hAnsi="仿宋" w:eastAsia="仿宋"/>
          <w:sz w:val="32"/>
          <w:szCs w:val="32"/>
          <w:lang w:val="en-US" w:eastAsia="zh-CN"/>
        </w:rPr>
        <w:t>6</w:t>
      </w:r>
      <w:r>
        <w:rPr>
          <w:rFonts w:hint="eastAsia" w:ascii="仿宋" w:hAnsi="仿宋" w:eastAsia="仿宋"/>
          <w:sz w:val="32"/>
          <w:szCs w:val="32"/>
        </w:rPr>
        <w:t>月</w:t>
      </w:r>
      <w:r>
        <w:rPr>
          <w:rFonts w:hint="eastAsia" w:ascii="仿宋" w:hAnsi="仿宋" w:eastAsia="仿宋"/>
          <w:sz w:val="32"/>
          <w:szCs w:val="32"/>
          <w:lang w:val="en-US" w:eastAsia="zh-CN"/>
        </w:rPr>
        <w:t>3</w:t>
      </w:r>
      <w:r>
        <w:rPr>
          <w:rFonts w:hint="eastAsia" w:ascii="仿宋" w:hAnsi="仿宋" w:eastAsia="仿宋"/>
          <w:sz w:val="32"/>
          <w:szCs w:val="32"/>
        </w:rPr>
        <w:t>日</w:t>
      </w:r>
    </w:p>
    <w:p>
      <w:pPr>
        <w:spacing w:afterLines="0" w:line="560" w:lineRule="exact"/>
        <w:ind w:firstLine="640" w:firstLineChars="200"/>
        <w:rPr>
          <w:rFonts w:hint="eastAsia" w:ascii="仿宋" w:hAnsi="仿宋" w:eastAsia="仿宋"/>
          <w:sz w:val="32"/>
          <w:szCs w:val="32"/>
          <w:lang w:val="en-US" w:eastAsia="zh-CN"/>
        </w:rPr>
      </w:pPr>
      <w:r>
        <w:rPr>
          <w:rFonts w:ascii="仿宋" w:hAnsi="仿宋" w:eastAsia="仿宋"/>
          <w:sz w:val="32"/>
          <w:szCs w:val="32"/>
        </w:rPr>
        <w:t>联系人</w:t>
      </w:r>
      <w:r>
        <w:rPr>
          <w:rFonts w:hint="eastAsia" w:ascii="仿宋" w:hAnsi="仿宋" w:eastAsia="仿宋"/>
          <w:sz w:val="32"/>
          <w:szCs w:val="32"/>
        </w:rPr>
        <w:t>：</w:t>
      </w:r>
      <w:r>
        <w:rPr>
          <w:rFonts w:hint="eastAsia" w:ascii="仿宋" w:hAnsi="仿宋" w:eastAsia="仿宋"/>
          <w:sz w:val="32"/>
          <w:szCs w:val="32"/>
          <w:lang w:eastAsia="zh-CN"/>
        </w:rPr>
        <w:t>赵继锋</w:t>
      </w:r>
      <w:r>
        <w:rPr>
          <w:rFonts w:hint="eastAsia" w:ascii="仿宋" w:hAnsi="仿宋" w:eastAsia="仿宋"/>
          <w:sz w:val="32"/>
          <w:szCs w:val="32"/>
          <w:lang w:val="en-US" w:eastAsia="zh-CN"/>
        </w:rPr>
        <w:t xml:space="preserve"> </w:t>
      </w:r>
      <w:r>
        <w:rPr>
          <w:rFonts w:hint="eastAsia" w:ascii="仿宋" w:hAnsi="仿宋" w:eastAsia="仿宋"/>
          <w:sz w:val="32"/>
          <w:szCs w:val="32"/>
        </w:rPr>
        <w:t xml:space="preserve"> </w:t>
      </w:r>
      <w:r>
        <w:rPr>
          <w:rFonts w:hint="eastAsia" w:ascii="仿宋" w:hAnsi="仿宋" w:eastAsia="仿宋"/>
          <w:sz w:val="32"/>
          <w:szCs w:val="32"/>
          <w:lang w:val="en-US" w:eastAsia="zh-CN"/>
        </w:rPr>
        <w:t>18844581616</w:t>
      </w:r>
    </w:p>
    <w:p>
      <w:pPr>
        <w:pStyle w:val="2"/>
        <w:spacing w:before="0" w:afterLines="0" w:line="560" w:lineRule="exact"/>
        <w:rPr>
          <w:rFonts w:hint="eastAsia"/>
          <w:lang w:val="en-US" w:eastAsia="zh-CN"/>
        </w:rPr>
      </w:pPr>
    </w:p>
    <w:p>
      <w:pPr>
        <w:pStyle w:val="8"/>
        <w:spacing w:afterLines="0" w:line="560" w:lineRule="exact"/>
        <w:rPr>
          <w:rFonts w:hint="default" w:ascii="仿宋_GB2312" w:hAnsi="仿宋"/>
          <w:sz w:val="32"/>
          <w:szCs w:val="32"/>
          <w:lang w:val="en-US"/>
        </w:rPr>
      </w:pPr>
      <w:r>
        <w:rPr>
          <w:rFonts w:hint="eastAsia" w:ascii="仿宋_GB2312" w:eastAsia="仿宋_GB2312"/>
          <w:sz w:val="32"/>
          <w:szCs w:val="32"/>
        </w:rPr>
        <w:t>联系人：</w:t>
      </w:r>
      <w:r>
        <w:rPr>
          <w:rFonts w:hint="eastAsia" w:ascii="仿宋_GB2312" w:eastAsia="仿宋_GB2312"/>
          <w:sz w:val="32"/>
          <w:szCs w:val="32"/>
          <w:lang w:eastAsia="zh-CN"/>
        </w:rPr>
        <w:t>高蒙</w:t>
      </w:r>
      <w:r>
        <w:rPr>
          <w:rFonts w:hint="eastAsia" w:ascii="仿宋_GB2312" w:eastAsia="仿宋_GB2312"/>
          <w:sz w:val="32"/>
          <w:szCs w:val="32"/>
        </w:rPr>
        <w:t xml:space="preserve">  联系电话：885006</w:t>
      </w:r>
      <w:r>
        <mc:AlternateContent>
          <mc:Choice Requires="wps">
            <w:drawing>
              <wp:anchor distT="0" distB="0" distL="114300" distR="114300" simplePos="0" relativeHeight="251660288" behindDoc="0" locked="0" layoutInCell="1" allowOverlap="1">
                <wp:simplePos x="0" y="0"/>
                <wp:positionH relativeFrom="column">
                  <wp:posOffset>13335</wp:posOffset>
                </wp:positionH>
                <wp:positionV relativeFrom="paragraph">
                  <wp:posOffset>328930</wp:posOffset>
                </wp:positionV>
                <wp:extent cx="5143500" cy="0"/>
                <wp:effectExtent l="0" t="0" r="0" b="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05pt;margin-top:25.9pt;height:0pt;width:405pt;z-index:251660288;mso-width-relative:page;mso-height-relative:page;" filled="f" stroked="t" coordsize="21600,21600" o:gfxdata="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AI+9ujTAAAABwEAAA8AAAAAAAAAAQAgAAAAIgAAAGRycy9k&#10;b3ducmV2LnhtbFBLAQIUABQAAAAIAIdO4kAbXtNMzgEAAGoDAAAOAAAAAAAAAAEAIAAAACIBAABk&#10;cnMvZTJvRG9jLnhtbFBLBQYAAAAABgAGAFkBAABiBQAAAAA=&#10;">
                <v:fill on="f" focussize="0,0"/>
                <v:stroke color="#000000" joinstyle="round"/>
                <v:imagedata o:title=""/>
                <o:lock v:ext="edit" aspectratio="f"/>
              </v:line>
            </w:pict>
          </mc:Fallback>
        </mc:AlternateContent>
      </w:r>
      <w:r>
        <w:rPr>
          <w:rFonts w:hint="eastAsia" w:ascii="仿宋_GB2312" w:eastAsia="仿宋_GB2312"/>
          <w:sz w:val="32"/>
          <w:szCs w:val="32"/>
          <w:lang w:val="en-US" w:eastAsia="zh-CN"/>
        </w:rPr>
        <w:t>25</w:t>
      </w:r>
    </w:p>
    <w:p>
      <w:pPr>
        <w:spacing w:afterLines="0" w:line="560" w:lineRule="exact"/>
        <w:rPr>
          <w:rFonts w:hint="default"/>
          <w:lang w:val="en-US" w:eastAsia="zh-CN"/>
        </w:rPr>
      </w:pPr>
      <w:r>
        <w:rPr>
          <w:sz w:val="21"/>
        </w:rPr>
        <w:pict>
          <v:shape id="_x0000_s2050" o:spid="_x0000_s2050" o:spt="201" alt="" type="#_x0000_t201" style="position:absolute;left:0pt;margin-left:321.7pt;margin-top:534.6pt;height:114pt;width:114pt;mso-position-horizontal-relative:page;mso-position-vertical-relative:page;z-index:251663360;mso-width-relative:page;mso-height-relative:page;" o:ole="t" filled="f" o:preferrelative="t" stroked="f" coordsize="21600,21600">
            <v:path/>
            <v:fill on="f" focussize="0,0"/>
            <v:stroke on="f"/>
            <v:imagedata r:id="rId7" o:title=""/>
            <o:lock v:ext="edit" aspectratio="f"/>
            <w10:anchorlock/>
          </v:shape>
          <w:control r:id="rId6" w:name="Control 2" w:shapeid="_x0000_s2050"/>
        </w:pict>
      </w:r>
      <w:r>
        <mc:AlternateContent>
          <mc:Choice Requires="wps">
            <w:drawing>
              <wp:anchor distT="0" distB="0" distL="114300" distR="114300" simplePos="0" relativeHeight="251662336" behindDoc="0" locked="0" layoutInCell="1" allowOverlap="1">
                <wp:simplePos x="0" y="0"/>
                <wp:positionH relativeFrom="column">
                  <wp:posOffset>13335</wp:posOffset>
                </wp:positionH>
                <wp:positionV relativeFrom="paragraph">
                  <wp:posOffset>313690</wp:posOffset>
                </wp:positionV>
                <wp:extent cx="5143500" cy="0"/>
                <wp:effectExtent l="0" t="0" r="0" b="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1.05pt;margin-top:24.7pt;height:0pt;width:405pt;z-index:251662336;mso-width-relative:page;mso-height-relative:page;" filled="f" stroked="t" coordsize="21600,21600" o:gfxdata="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swuAT0gAAAAcBAAAPAAAAAAAAAAEAIAAAACIAAABkcnMvZG93&#10;bnJldi54bWxQSwECFAAUAAAACACHTuJAvUfoCM0BAABqAwAADgAAAAAAAAABACAAAAAhAQAAZHJz&#10;L2Uyb0RvYy54bWxQSwUGAAAAAAYABgBZAQAAYAUAAAAA&#10;">
                <v:fill on="f" focussize="0,0"/>
                <v:stroke color="#000000" joinstyle="round"/>
                <v:imagedata o:title=""/>
                <o:lock v:ext="edit" aspectratio="f"/>
              </v:line>
            </w:pict>
          </mc:Fallback>
        </mc:AlternateContent>
      </w:r>
      <w:r>
        <w:rPr>
          <w:rFonts w:hint="eastAsia" w:ascii="仿宋_GB2312" w:hAnsi="仿宋"/>
          <w:sz w:val="32"/>
          <w:szCs w:val="32"/>
        </w:rPr>
        <w:t>送：市政协提案委办公室</w:t>
      </w:r>
    </w:p>
    <w:sectPr>
      <w:headerReference r:id="rId3" w:type="default"/>
      <w:footerReference r:id="rId4" w:type="default"/>
      <w:pgSz w:w="11906" w:h="16838"/>
      <w:pgMar w:top="1417" w:right="1757" w:bottom="1417" w:left="175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C75F42FF-6B43-45D7-A74A-B03818C641A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embedRegular r:id="rId2" w:fontKey="{9978D51F-5878-4398-AE44-6731AFAD3486}"/>
  </w:font>
  <w:font w:name="方正小标宋简体">
    <w:panose1 w:val="02010601030101010101"/>
    <w:charset w:val="86"/>
    <w:family w:val="auto"/>
    <w:pitch w:val="default"/>
    <w:sig w:usb0="00000001" w:usb1="080E0000" w:usb2="00000000" w:usb3="00000000" w:csb0="00040000" w:csb1="00000000"/>
    <w:embedRegular r:id="rId3" w:fontKey="{BAF4710A-294D-4D30-827E-455971F9EC07}"/>
  </w:font>
  <w:font w:name="仿宋_GB2312">
    <w:panose1 w:val="02010609030101010101"/>
    <w:charset w:val="86"/>
    <w:family w:val="modern"/>
    <w:pitch w:val="default"/>
    <w:sig w:usb0="00000001" w:usb1="080E0000" w:usb2="00000000" w:usb3="00000000" w:csb0="00040000" w:csb1="00000000"/>
    <w:embedRegular r:id="rId4" w:fontKey="{000223B5-668A-4ADF-B57E-1165E112FCA2}"/>
  </w:font>
  <w:font w:name="华文中宋">
    <w:panose1 w:val="02010600040101010101"/>
    <w:charset w:val="86"/>
    <w:family w:val="auto"/>
    <w:pitch w:val="default"/>
    <w:sig w:usb0="00000287" w:usb1="080F0000" w:usb2="00000000" w:usb3="00000000" w:csb0="0004009F" w:csb1="DFD70000"/>
    <w:embedRegular r:id="rId5" w:fontKey="{6FB679B6-4078-43EE-94FE-B36D09DD2075}"/>
  </w:font>
  <w:font w:name="楷体">
    <w:panose1 w:val="02010609060101010101"/>
    <w:charset w:val="86"/>
    <w:family w:val="auto"/>
    <w:pitch w:val="default"/>
    <w:sig w:usb0="800002BF" w:usb1="38CF7CFA" w:usb2="00000016" w:usb3="00000000" w:csb0="00040001" w:csb1="00000000"/>
    <w:embedRegular r:id="rId6" w:fontKey="{C33B41DB-6971-4A6B-BA67-657195EA7D26}"/>
  </w:font>
  <w:font w:name="CESI仿宋-GB2312">
    <w:altName w:val="仿宋"/>
    <w:panose1 w:val="02000500000000000000"/>
    <w:charset w:val="86"/>
    <w:family w:val="auto"/>
    <w:pitch w:val="default"/>
    <w:sig w:usb0="00000000" w:usb1="00000000" w:usb2="00000010" w:usb3="00000000" w:csb0="0004000F" w:csb1="00000000"/>
    <w:embedRegular r:id="rId7" w:fontKey="{5E443183-F567-44AB-ABD7-21836632E0C8}"/>
  </w:font>
  <w:font w:name="方正仿宋_GB2312">
    <w:altName w:val="仿宋"/>
    <w:panose1 w:val="02000000000000000000"/>
    <w:charset w:val="86"/>
    <w:family w:val="auto"/>
    <w:pitch w:val="default"/>
    <w:sig w:usb0="00000000" w:usb1="00000000" w:usb2="00000012" w:usb3="00000000" w:csb0="00040001" w:csb1="00000000"/>
    <w:embedRegular r:id="rId8" w:fontKey="{80FEF9A1-4B58-40D1-B9FF-55B34A9BDB2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trackRevisions w:val="1"/>
  <w:documentProtection w:edit="forms" w:enforcement="1" w:cryptProviderType="rsaFull" w:cryptAlgorithmClass="hash" w:cryptAlgorithmType="typeAny" w:cryptAlgorithmSid="4" w:cryptSpinCount="0" w:hash="x/3JgOOCjnlVEF5gKTTti7MDvLM=" w:salt="4OEnIZ0ehRwwOWetretF6g=="/>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1N2FhYWUxMThiODlmYzlhYTYxOTViMWE4OGQ3ZmQifQ=="/>
  </w:docVars>
  <w:rsids>
    <w:rsidRoot w:val="24077C94"/>
    <w:rsid w:val="018362EB"/>
    <w:rsid w:val="060E6ACB"/>
    <w:rsid w:val="06AE30CA"/>
    <w:rsid w:val="0AF838A6"/>
    <w:rsid w:val="0B36617C"/>
    <w:rsid w:val="0B7C6285"/>
    <w:rsid w:val="0C1B3CF0"/>
    <w:rsid w:val="0D984ECC"/>
    <w:rsid w:val="127777A6"/>
    <w:rsid w:val="1CB40D57"/>
    <w:rsid w:val="1CB560BE"/>
    <w:rsid w:val="1D774AFE"/>
    <w:rsid w:val="1F9C4CF0"/>
    <w:rsid w:val="20D81D57"/>
    <w:rsid w:val="21CA1C70"/>
    <w:rsid w:val="24077C94"/>
    <w:rsid w:val="257D111F"/>
    <w:rsid w:val="27E62C82"/>
    <w:rsid w:val="2B073965"/>
    <w:rsid w:val="2B80767F"/>
    <w:rsid w:val="307373A7"/>
    <w:rsid w:val="311F3303"/>
    <w:rsid w:val="35FC1BEC"/>
    <w:rsid w:val="35FCD946"/>
    <w:rsid w:val="3910549D"/>
    <w:rsid w:val="3B8C57C0"/>
    <w:rsid w:val="3C2105FF"/>
    <w:rsid w:val="3CAA05F4"/>
    <w:rsid w:val="40152CB5"/>
    <w:rsid w:val="46F74436"/>
    <w:rsid w:val="47A96066"/>
    <w:rsid w:val="48A203D1"/>
    <w:rsid w:val="4ADF7176"/>
    <w:rsid w:val="54BE2A37"/>
    <w:rsid w:val="55F54236"/>
    <w:rsid w:val="562E14F6"/>
    <w:rsid w:val="58F6273B"/>
    <w:rsid w:val="5A5D684E"/>
    <w:rsid w:val="5FA9299E"/>
    <w:rsid w:val="61C7729B"/>
    <w:rsid w:val="64010894"/>
    <w:rsid w:val="65766A16"/>
    <w:rsid w:val="6B00125C"/>
    <w:rsid w:val="6D1E00BF"/>
    <w:rsid w:val="73D97178"/>
    <w:rsid w:val="75CE42AC"/>
    <w:rsid w:val="770A30FC"/>
    <w:rsid w:val="78031871"/>
    <w:rsid w:val="7879264D"/>
    <w:rsid w:val="9B799F2E"/>
    <w:rsid w:val="DA77EDDA"/>
    <w:rsid w:val="FEEE19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eastAsia="宋体" w:cs="Times New Roman"/>
      <w:b/>
      <w:bCs/>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主题词"/>
    <w:basedOn w:val="1"/>
    <w:uiPriority w:val="0"/>
    <w:pPr>
      <w:spacing w:afterLines="50" w:line="600" w:lineRule="exact"/>
    </w:pPr>
    <w:rPr>
      <w:rFonts w:eastAsia="方正小标宋简体"/>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wmf"/><Relationship Id="rId6" Type="http://schemas.openxmlformats.org/officeDocument/2006/relationships/control" Target="activeX/activeX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AEFFB97D-57E6-4C87-BA87-19C179443B6A}" r:id="rId1" ax:persistence="persistStorage"/>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2024-04-17T09:26:00Z</dcterms:created>
  <dc:creator>米娅</dc:creator>
  <cp:lastModifiedBy>辛佳璘</cp:lastModifiedBy>
  <dcterms:modified xsi:type="dcterms:W3CDTF">2024-06-17T01:24:33Z</dcterms:modified>
  <dc:title>对政协长春市第十四届委员会第三次会议  第265号提案的答复</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303E70C09B48214315261E66146E08B9_43</vt:lpwstr>
  </property>
</Properties>
</file>