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E0E44">
      <w:pPr>
        <w:spacing w:line="325" w:lineRule="auto"/>
        <w:rPr>
          <w:rFonts w:ascii="Arial"/>
          <w:sz w:val="21"/>
        </w:rPr>
      </w:pPr>
    </w:p>
    <w:p w14:paraId="5058A502">
      <w:pPr>
        <w:spacing w:line="325" w:lineRule="auto"/>
        <w:rPr>
          <w:rFonts w:ascii="Arial"/>
          <w:sz w:val="21"/>
        </w:rPr>
      </w:pPr>
    </w:p>
    <w:p w14:paraId="3043ECF5">
      <w:pPr>
        <w:pStyle w:val="2"/>
        <w:spacing w:before="101" w:line="225" w:lineRule="auto"/>
        <w:ind w:left="1444"/>
        <w:outlineLvl w:val="0"/>
        <w:rPr>
          <w:sz w:val="31"/>
          <w:szCs w:val="31"/>
        </w:rPr>
      </w:pPr>
      <w:bookmarkStart w:id="0" w:name="_GoBack"/>
      <w:r>
        <w:rPr>
          <w:rFonts w:hint="eastAsia"/>
          <w:b/>
          <w:bCs/>
          <w:spacing w:val="6"/>
          <w:sz w:val="31"/>
          <w:szCs w:val="31"/>
          <w:lang w:val="en-US" w:eastAsia="zh-CN"/>
        </w:rPr>
        <w:t>长春市</w:t>
      </w:r>
      <w:r>
        <w:rPr>
          <w:b/>
          <w:bCs/>
          <w:spacing w:val="6"/>
          <w:sz w:val="31"/>
          <w:szCs w:val="31"/>
        </w:rPr>
        <w:t>定配眼镜产品质量监督抽查实施细则</w:t>
      </w:r>
    </w:p>
    <w:bookmarkEnd w:id="0"/>
    <w:p w14:paraId="364FAB66">
      <w:pPr>
        <w:pStyle w:val="2"/>
        <w:spacing w:before="92" w:line="225" w:lineRule="auto"/>
        <w:ind w:left="3493"/>
        <w:outlineLvl w:val="0"/>
        <w:rPr>
          <w:sz w:val="31"/>
          <w:szCs w:val="31"/>
        </w:rPr>
      </w:pPr>
      <w:r>
        <w:rPr>
          <w:b/>
          <w:bCs/>
          <w:spacing w:val="-2"/>
          <w:sz w:val="31"/>
          <w:szCs w:val="31"/>
        </w:rPr>
        <w:t>（2024</w:t>
      </w:r>
      <w:r>
        <w:rPr>
          <w:spacing w:val="-57"/>
          <w:sz w:val="31"/>
          <w:szCs w:val="31"/>
        </w:rPr>
        <w:t xml:space="preserve"> </w:t>
      </w:r>
      <w:r>
        <w:rPr>
          <w:b/>
          <w:bCs/>
          <w:spacing w:val="-2"/>
          <w:sz w:val="31"/>
          <w:szCs w:val="31"/>
        </w:rPr>
        <w:t>年版）</w:t>
      </w:r>
    </w:p>
    <w:p w14:paraId="65671D8D">
      <w:pPr>
        <w:spacing w:line="245" w:lineRule="auto"/>
        <w:rPr>
          <w:rFonts w:ascii="Arial"/>
          <w:sz w:val="21"/>
        </w:rPr>
      </w:pPr>
    </w:p>
    <w:p w14:paraId="643DBF92">
      <w:pPr>
        <w:spacing w:line="245" w:lineRule="auto"/>
        <w:rPr>
          <w:rFonts w:ascii="Arial"/>
          <w:sz w:val="21"/>
        </w:rPr>
      </w:pPr>
    </w:p>
    <w:p w14:paraId="14D7821D">
      <w:pPr>
        <w:spacing w:before="78" w:line="221" w:lineRule="auto"/>
        <w:ind w:left="14"/>
        <w:outlineLvl w:val="1"/>
        <w:rPr>
          <w:rFonts w:ascii="黑体" w:hAnsi="黑体" w:eastAsia="黑体" w:cs="黑体"/>
          <w:sz w:val="24"/>
          <w:szCs w:val="24"/>
        </w:rPr>
      </w:pPr>
      <w:r>
        <w:rPr>
          <w:rFonts w:ascii="黑体" w:hAnsi="黑体" w:eastAsia="黑体" w:cs="黑体"/>
          <w:spacing w:val="-7"/>
          <w:sz w:val="24"/>
          <w:szCs w:val="24"/>
        </w:rPr>
        <w:t>1</w:t>
      </w:r>
      <w:r>
        <w:rPr>
          <w:rFonts w:ascii="黑体" w:hAnsi="黑体" w:eastAsia="黑体" w:cs="黑体"/>
          <w:spacing w:val="12"/>
          <w:sz w:val="24"/>
          <w:szCs w:val="24"/>
        </w:rPr>
        <w:t xml:space="preserve"> </w:t>
      </w:r>
      <w:r>
        <w:rPr>
          <w:rFonts w:ascii="黑体" w:hAnsi="黑体" w:eastAsia="黑体" w:cs="黑体"/>
          <w:spacing w:val="-7"/>
          <w:sz w:val="24"/>
          <w:szCs w:val="24"/>
        </w:rPr>
        <w:t>抽样方法</w:t>
      </w:r>
    </w:p>
    <w:p w14:paraId="648DBE5A">
      <w:pPr>
        <w:pStyle w:val="2"/>
        <w:spacing w:before="37" w:line="227" w:lineRule="auto"/>
        <w:ind w:left="444"/>
      </w:pPr>
      <w:r>
        <w:rPr>
          <w:spacing w:val="8"/>
        </w:rPr>
        <w:t>以随机抽样的方式在被抽样生产者、销售者的待销产品中抽取。</w:t>
      </w:r>
    </w:p>
    <w:p w14:paraId="3A1012D0">
      <w:pPr>
        <w:pStyle w:val="2"/>
        <w:spacing w:before="162" w:line="227" w:lineRule="auto"/>
        <w:ind w:left="432"/>
      </w:pPr>
      <w:r>
        <w:rPr>
          <w:spacing w:val="8"/>
        </w:rPr>
        <w:t>随机数一般可使用随机数表等方法产生。</w:t>
      </w:r>
    </w:p>
    <w:p w14:paraId="3BB900A1">
      <w:pPr>
        <w:pStyle w:val="2"/>
        <w:spacing w:before="161" w:line="228" w:lineRule="auto"/>
        <w:ind w:left="420"/>
      </w:pPr>
      <w:r>
        <w:rPr>
          <w:spacing w:val="8"/>
        </w:rPr>
        <w:t>每批次产品抽取样品</w:t>
      </w:r>
      <w:r>
        <w:rPr>
          <w:spacing w:val="-16"/>
        </w:rPr>
        <w:t xml:space="preserve"> </w:t>
      </w:r>
      <w:r>
        <w:rPr>
          <w:spacing w:val="8"/>
        </w:rPr>
        <w:t>1</w:t>
      </w:r>
      <w:r>
        <w:rPr>
          <w:spacing w:val="-34"/>
        </w:rPr>
        <w:t xml:space="preserve"> </w:t>
      </w:r>
      <w:r>
        <w:rPr>
          <w:spacing w:val="8"/>
        </w:rPr>
        <w:t>副，作为检验样品。无备用样品，复检时在原样上进行。</w:t>
      </w:r>
    </w:p>
    <w:p w14:paraId="60FEEA16">
      <w:pPr>
        <w:spacing w:before="278" w:line="222" w:lineRule="auto"/>
        <w:rPr>
          <w:rFonts w:ascii="黑体" w:hAnsi="黑体" w:eastAsia="黑体" w:cs="黑体"/>
          <w:sz w:val="24"/>
          <w:szCs w:val="24"/>
        </w:rPr>
      </w:pPr>
      <w:r>
        <w:rPr>
          <w:rFonts w:ascii="黑体" w:hAnsi="黑体" w:eastAsia="黑体" w:cs="黑体"/>
          <w:spacing w:val="-2"/>
          <w:sz w:val="24"/>
          <w:szCs w:val="24"/>
        </w:rPr>
        <w:t>2 检验依据</w:t>
      </w:r>
    </w:p>
    <w:p w14:paraId="5B6920F3">
      <w:pPr>
        <w:spacing w:line="56" w:lineRule="auto"/>
        <w:rPr>
          <w:rFonts w:ascii="Arial"/>
          <w:sz w:val="2"/>
        </w:rPr>
      </w:pPr>
    </w:p>
    <w:tbl>
      <w:tblPr>
        <w:tblStyle w:val="5"/>
        <w:tblW w:w="8170" w:type="dxa"/>
        <w:tblInd w:w="3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2"/>
        <w:gridCol w:w="1358"/>
        <w:gridCol w:w="3357"/>
        <w:gridCol w:w="2413"/>
      </w:tblGrid>
      <w:tr w14:paraId="05B56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42" w:type="dxa"/>
            <w:vAlign w:val="top"/>
          </w:tcPr>
          <w:p w14:paraId="2B84E763">
            <w:pPr>
              <w:pStyle w:val="6"/>
              <w:spacing w:before="177" w:line="229" w:lineRule="auto"/>
              <w:ind w:left="316"/>
            </w:pPr>
            <w:r>
              <w:rPr>
                <w:spacing w:val="5"/>
              </w:rPr>
              <w:t>序号</w:t>
            </w:r>
          </w:p>
        </w:tc>
        <w:tc>
          <w:tcPr>
            <w:tcW w:w="4715" w:type="dxa"/>
            <w:gridSpan w:val="2"/>
            <w:vAlign w:val="top"/>
          </w:tcPr>
          <w:p w14:paraId="4F127023">
            <w:pPr>
              <w:pStyle w:val="6"/>
              <w:spacing w:before="176" w:line="228" w:lineRule="auto"/>
              <w:ind w:left="1943"/>
            </w:pPr>
            <w:r>
              <w:rPr>
                <w:spacing w:val="7"/>
              </w:rPr>
              <w:t>检验项目</w:t>
            </w:r>
          </w:p>
        </w:tc>
        <w:tc>
          <w:tcPr>
            <w:tcW w:w="2413" w:type="dxa"/>
            <w:vAlign w:val="top"/>
          </w:tcPr>
          <w:p w14:paraId="627AE6A9">
            <w:pPr>
              <w:pStyle w:val="6"/>
              <w:spacing w:before="176" w:line="228" w:lineRule="auto"/>
              <w:ind w:left="792"/>
            </w:pPr>
            <w:r>
              <w:rPr>
                <w:spacing w:val="7"/>
              </w:rPr>
              <w:t>检验方法</w:t>
            </w:r>
          </w:p>
        </w:tc>
      </w:tr>
      <w:tr w14:paraId="27C51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042" w:type="dxa"/>
            <w:vAlign w:val="top"/>
          </w:tcPr>
          <w:p w14:paraId="65F5DB90">
            <w:pPr>
              <w:pStyle w:val="6"/>
              <w:spacing w:before="99" w:line="270" w:lineRule="exact"/>
              <w:ind w:left="488"/>
            </w:pPr>
            <w:r>
              <w:rPr>
                <w:position w:val="1"/>
              </w:rPr>
              <w:t>1</w:t>
            </w:r>
          </w:p>
        </w:tc>
        <w:tc>
          <w:tcPr>
            <w:tcW w:w="1358" w:type="dxa"/>
            <w:vMerge w:val="restart"/>
            <w:tcBorders>
              <w:bottom w:val="nil"/>
            </w:tcBorders>
            <w:vAlign w:val="top"/>
          </w:tcPr>
          <w:p w14:paraId="3792D474">
            <w:pPr>
              <w:spacing w:line="241" w:lineRule="auto"/>
              <w:rPr>
                <w:rFonts w:ascii="Arial"/>
                <w:sz w:val="21"/>
              </w:rPr>
            </w:pPr>
          </w:p>
          <w:p w14:paraId="21F52EFE">
            <w:pPr>
              <w:pStyle w:val="6"/>
              <w:spacing w:before="65" w:line="228" w:lineRule="auto"/>
              <w:ind w:left="159"/>
            </w:pPr>
            <w:r>
              <w:rPr>
                <w:spacing w:val="7"/>
              </w:rPr>
              <w:t>镜片顶焦度</w:t>
            </w:r>
          </w:p>
        </w:tc>
        <w:tc>
          <w:tcPr>
            <w:tcW w:w="3357" w:type="dxa"/>
            <w:vAlign w:val="top"/>
          </w:tcPr>
          <w:p w14:paraId="716BEAF8">
            <w:pPr>
              <w:pStyle w:val="6"/>
              <w:spacing w:before="99" w:line="228" w:lineRule="auto"/>
              <w:ind w:left="948"/>
            </w:pPr>
            <w:r>
              <w:rPr>
                <w:spacing w:val="8"/>
              </w:rPr>
              <w:t>球镜顶焦度偏差</w:t>
            </w:r>
          </w:p>
        </w:tc>
        <w:tc>
          <w:tcPr>
            <w:tcW w:w="2413" w:type="dxa"/>
            <w:vAlign w:val="top"/>
          </w:tcPr>
          <w:p w14:paraId="724C168C">
            <w:pPr>
              <w:pStyle w:val="6"/>
              <w:spacing w:before="99" w:line="268" w:lineRule="exact"/>
              <w:ind w:left="370"/>
            </w:pPr>
            <w:r>
              <w:rPr>
                <w:position w:val="1"/>
              </w:rPr>
              <w:t>GB</w:t>
            </w:r>
            <w:r>
              <w:rPr>
                <w:spacing w:val="36"/>
                <w:position w:val="1"/>
              </w:rPr>
              <w:t xml:space="preserve"> </w:t>
            </w:r>
            <w:r>
              <w:rPr>
                <w:spacing w:val="3"/>
                <w:position w:val="1"/>
              </w:rPr>
              <w:t>10810.1—2005</w:t>
            </w:r>
          </w:p>
        </w:tc>
      </w:tr>
      <w:tr w14:paraId="73745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42" w:type="dxa"/>
            <w:vAlign w:val="top"/>
          </w:tcPr>
          <w:p w14:paraId="4103639F">
            <w:pPr>
              <w:pStyle w:val="6"/>
              <w:spacing w:before="99" w:line="270" w:lineRule="exact"/>
              <w:ind w:left="475"/>
            </w:pPr>
            <w:r>
              <w:rPr>
                <w:position w:val="1"/>
              </w:rPr>
              <w:t>2</w:t>
            </w:r>
          </w:p>
        </w:tc>
        <w:tc>
          <w:tcPr>
            <w:tcW w:w="1358" w:type="dxa"/>
            <w:vMerge w:val="continue"/>
            <w:tcBorders>
              <w:top w:val="nil"/>
            </w:tcBorders>
            <w:vAlign w:val="top"/>
          </w:tcPr>
          <w:p w14:paraId="6BB6FF21">
            <w:pPr>
              <w:rPr>
                <w:rFonts w:ascii="Arial"/>
                <w:sz w:val="21"/>
              </w:rPr>
            </w:pPr>
          </w:p>
        </w:tc>
        <w:tc>
          <w:tcPr>
            <w:tcW w:w="3357" w:type="dxa"/>
            <w:vAlign w:val="top"/>
          </w:tcPr>
          <w:p w14:paraId="340710DA">
            <w:pPr>
              <w:pStyle w:val="6"/>
              <w:spacing w:before="99" w:line="228" w:lineRule="auto"/>
              <w:ind w:left="948"/>
            </w:pPr>
            <w:r>
              <w:rPr>
                <w:spacing w:val="8"/>
              </w:rPr>
              <w:t>柱镜顶焦度偏差</w:t>
            </w:r>
          </w:p>
        </w:tc>
        <w:tc>
          <w:tcPr>
            <w:tcW w:w="2413" w:type="dxa"/>
            <w:vAlign w:val="top"/>
          </w:tcPr>
          <w:p w14:paraId="3C30555F">
            <w:pPr>
              <w:pStyle w:val="6"/>
              <w:spacing w:before="99" w:line="268" w:lineRule="exact"/>
              <w:ind w:left="370"/>
            </w:pPr>
            <w:r>
              <w:rPr>
                <w:position w:val="1"/>
              </w:rPr>
              <w:t>GB</w:t>
            </w:r>
            <w:r>
              <w:rPr>
                <w:spacing w:val="36"/>
                <w:position w:val="1"/>
              </w:rPr>
              <w:t xml:space="preserve"> </w:t>
            </w:r>
            <w:r>
              <w:rPr>
                <w:spacing w:val="3"/>
                <w:position w:val="1"/>
              </w:rPr>
              <w:t>10810.1—2005</w:t>
            </w:r>
          </w:p>
        </w:tc>
      </w:tr>
      <w:tr w14:paraId="4A090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42" w:type="dxa"/>
            <w:vAlign w:val="top"/>
          </w:tcPr>
          <w:p w14:paraId="6D00BA04">
            <w:pPr>
              <w:pStyle w:val="6"/>
              <w:spacing w:before="100" w:line="268" w:lineRule="exact"/>
              <w:ind w:left="477"/>
            </w:pPr>
            <w:r>
              <w:rPr>
                <w:position w:val="1"/>
              </w:rPr>
              <w:t>3</w:t>
            </w:r>
          </w:p>
        </w:tc>
        <w:tc>
          <w:tcPr>
            <w:tcW w:w="4715" w:type="dxa"/>
            <w:gridSpan w:val="2"/>
            <w:vAlign w:val="top"/>
          </w:tcPr>
          <w:p w14:paraId="32FBCFBC">
            <w:pPr>
              <w:pStyle w:val="6"/>
              <w:spacing w:before="99" w:line="228" w:lineRule="auto"/>
              <w:ind w:left="1945"/>
            </w:pPr>
            <w:r>
              <w:rPr>
                <w:spacing w:val="6"/>
              </w:rPr>
              <w:t>光透射比</w:t>
            </w:r>
          </w:p>
        </w:tc>
        <w:tc>
          <w:tcPr>
            <w:tcW w:w="2413" w:type="dxa"/>
            <w:vAlign w:val="top"/>
          </w:tcPr>
          <w:p w14:paraId="52BC25F2">
            <w:pPr>
              <w:pStyle w:val="6"/>
              <w:spacing w:before="100" w:line="267" w:lineRule="exact"/>
              <w:ind w:left="370"/>
            </w:pPr>
            <w:r>
              <w:rPr>
                <w:position w:val="1"/>
              </w:rPr>
              <w:t>GB</w:t>
            </w:r>
            <w:r>
              <w:rPr>
                <w:spacing w:val="36"/>
                <w:position w:val="1"/>
              </w:rPr>
              <w:t xml:space="preserve"> </w:t>
            </w:r>
            <w:r>
              <w:rPr>
                <w:spacing w:val="3"/>
                <w:position w:val="1"/>
              </w:rPr>
              <w:t>10810.3—2006</w:t>
            </w:r>
          </w:p>
        </w:tc>
      </w:tr>
      <w:tr w14:paraId="1E2E2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42" w:type="dxa"/>
            <w:vAlign w:val="top"/>
          </w:tcPr>
          <w:p w14:paraId="06A35511">
            <w:pPr>
              <w:pStyle w:val="6"/>
              <w:spacing w:before="100" w:line="270" w:lineRule="exact"/>
              <w:ind w:left="472"/>
            </w:pPr>
            <w:r>
              <w:rPr>
                <w:position w:val="1"/>
              </w:rPr>
              <w:t>4</w:t>
            </w:r>
          </w:p>
        </w:tc>
        <w:tc>
          <w:tcPr>
            <w:tcW w:w="4715" w:type="dxa"/>
            <w:gridSpan w:val="2"/>
            <w:vAlign w:val="top"/>
          </w:tcPr>
          <w:p w14:paraId="7395BDA2">
            <w:pPr>
              <w:pStyle w:val="6"/>
              <w:spacing w:before="100" w:line="228" w:lineRule="auto"/>
              <w:ind w:left="1525"/>
            </w:pPr>
            <w:r>
              <w:rPr>
                <w:spacing w:val="8"/>
              </w:rPr>
              <w:t>光学中心水平偏差</w:t>
            </w:r>
          </w:p>
        </w:tc>
        <w:tc>
          <w:tcPr>
            <w:tcW w:w="2413" w:type="dxa"/>
            <w:vAlign w:val="top"/>
          </w:tcPr>
          <w:p w14:paraId="2ADF4C77">
            <w:pPr>
              <w:pStyle w:val="6"/>
              <w:spacing w:before="100" w:line="268" w:lineRule="exact"/>
              <w:ind w:left="370"/>
            </w:pPr>
            <w:r>
              <w:rPr>
                <w:position w:val="1"/>
              </w:rPr>
              <w:t>GB</w:t>
            </w:r>
            <w:r>
              <w:rPr>
                <w:spacing w:val="36"/>
                <w:position w:val="1"/>
              </w:rPr>
              <w:t xml:space="preserve"> </w:t>
            </w:r>
            <w:r>
              <w:rPr>
                <w:spacing w:val="3"/>
                <w:position w:val="1"/>
              </w:rPr>
              <w:t>13511.1—2011</w:t>
            </w:r>
          </w:p>
        </w:tc>
      </w:tr>
      <w:tr w14:paraId="489C2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42" w:type="dxa"/>
            <w:vAlign w:val="top"/>
          </w:tcPr>
          <w:p w14:paraId="5DF29F10">
            <w:pPr>
              <w:pStyle w:val="6"/>
              <w:spacing w:before="101" w:line="268" w:lineRule="exact"/>
              <w:ind w:left="477"/>
            </w:pPr>
            <w:r>
              <w:rPr>
                <w:position w:val="1"/>
              </w:rPr>
              <w:t>5</w:t>
            </w:r>
          </w:p>
        </w:tc>
        <w:tc>
          <w:tcPr>
            <w:tcW w:w="4715" w:type="dxa"/>
            <w:gridSpan w:val="2"/>
            <w:vAlign w:val="top"/>
          </w:tcPr>
          <w:p w14:paraId="0F2DC36B">
            <w:pPr>
              <w:pStyle w:val="6"/>
              <w:spacing w:before="100" w:line="228" w:lineRule="auto"/>
              <w:ind w:left="1314"/>
            </w:pPr>
            <w:r>
              <w:rPr>
                <w:spacing w:val="8"/>
              </w:rPr>
              <w:t>光学中心单侧水平偏差</w:t>
            </w:r>
          </w:p>
        </w:tc>
        <w:tc>
          <w:tcPr>
            <w:tcW w:w="2413" w:type="dxa"/>
            <w:vAlign w:val="top"/>
          </w:tcPr>
          <w:p w14:paraId="38DBB86C">
            <w:pPr>
              <w:pStyle w:val="6"/>
              <w:spacing w:before="101" w:line="267" w:lineRule="exact"/>
              <w:ind w:left="370"/>
            </w:pPr>
            <w:r>
              <w:rPr>
                <w:position w:val="1"/>
              </w:rPr>
              <w:t>GB</w:t>
            </w:r>
            <w:r>
              <w:rPr>
                <w:spacing w:val="36"/>
                <w:position w:val="1"/>
              </w:rPr>
              <w:t xml:space="preserve"> </w:t>
            </w:r>
            <w:r>
              <w:rPr>
                <w:spacing w:val="3"/>
                <w:position w:val="1"/>
              </w:rPr>
              <w:t>13511.1—2011</w:t>
            </w:r>
          </w:p>
        </w:tc>
      </w:tr>
      <w:tr w14:paraId="4D0F1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042" w:type="dxa"/>
            <w:vAlign w:val="top"/>
          </w:tcPr>
          <w:p w14:paraId="695E9D2E">
            <w:pPr>
              <w:pStyle w:val="6"/>
              <w:spacing w:before="104" w:line="268" w:lineRule="exact"/>
              <w:ind w:left="474"/>
            </w:pPr>
            <w:r>
              <w:rPr>
                <w:position w:val="1"/>
              </w:rPr>
              <w:t>6</w:t>
            </w:r>
          </w:p>
        </w:tc>
        <w:tc>
          <w:tcPr>
            <w:tcW w:w="4715" w:type="dxa"/>
            <w:gridSpan w:val="2"/>
            <w:vAlign w:val="top"/>
          </w:tcPr>
          <w:p w14:paraId="4292563D">
            <w:pPr>
              <w:pStyle w:val="6"/>
              <w:spacing w:before="103" w:line="228" w:lineRule="auto"/>
              <w:ind w:left="1525"/>
            </w:pPr>
            <w:r>
              <w:rPr>
                <w:spacing w:val="8"/>
              </w:rPr>
              <w:t>光学中心垂直互差</w:t>
            </w:r>
          </w:p>
        </w:tc>
        <w:tc>
          <w:tcPr>
            <w:tcW w:w="2413" w:type="dxa"/>
            <w:vAlign w:val="top"/>
          </w:tcPr>
          <w:p w14:paraId="702C313F">
            <w:pPr>
              <w:pStyle w:val="6"/>
              <w:spacing w:before="104" w:line="267" w:lineRule="exact"/>
              <w:ind w:left="370"/>
            </w:pPr>
            <w:r>
              <w:rPr>
                <w:position w:val="1"/>
              </w:rPr>
              <w:t>GB</w:t>
            </w:r>
            <w:r>
              <w:rPr>
                <w:spacing w:val="36"/>
                <w:position w:val="1"/>
              </w:rPr>
              <w:t xml:space="preserve"> </w:t>
            </w:r>
            <w:r>
              <w:rPr>
                <w:spacing w:val="3"/>
                <w:position w:val="1"/>
              </w:rPr>
              <w:t>13511.1—2011</w:t>
            </w:r>
          </w:p>
        </w:tc>
      </w:tr>
      <w:tr w14:paraId="07506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042" w:type="dxa"/>
            <w:vAlign w:val="top"/>
          </w:tcPr>
          <w:p w14:paraId="4DB637E8">
            <w:pPr>
              <w:pStyle w:val="6"/>
              <w:spacing w:before="103" w:line="269" w:lineRule="exact"/>
              <w:ind w:left="478"/>
            </w:pPr>
            <w:r>
              <w:rPr>
                <w:position w:val="1"/>
              </w:rPr>
              <w:t>7</w:t>
            </w:r>
          </w:p>
        </w:tc>
        <w:tc>
          <w:tcPr>
            <w:tcW w:w="4715" w:type="dxa"/>
            <w:gridSpan w:val="2"/>
            <w:vAlign w:val="top"/>
          </w:tcPr>
          <w:p w14:paraId="0FA00854">
            <w:pPr>
              <w:pStyle w:val="6"/>
              <w:spacing w:before="117" w:line="228" w:lineRule="auto"/>
              <w:ind w:left="1524"/>
            </w:pPr>
            <w:r>
              <w:rPr>
                <w:spacing w:val="8"/>
              </w:rPr>
              <w:t>两镜片顶焦度互差</w:t>
            </w:r>
          </w:p>
        </w:tc>
        <w:tc>
          <w:tcPr>
            <w:tcW w:w="2413" w:type="dxa"/>
            <w:vAlign w:val="top"/>
          </w:tcPr>
          <w:p w14:paraId="2E0A4C03">
            <w:pPr>
              <w:pStyle w:val="6"/>
              <w:spacing w:before="118" w:line="267" w:lineRule="exact"/>
              <w:ind w:left="370"/>
            </w:pPr>
            <w:r>
              <w:rPr>
                <w:position w:val="1"/>
              </w:rPr>
              <w:t>GB</w:t>
            </w:r>
            <w:r>
              <w:rPr>
                <w:spacing w:val="36"/>
                <w:position w:val="1"/>
              </w:rPr>
              <w:t xml:space="preserve"> </w:t>
            </w:r>
            <w:r>
              <w:rPr>
                <w:spacing w:val="3"/>
                <w:position w:val="1"/>
              </w:rPr>
              <w:t>10810.1—2005</w:t>
            </w:r>
          </w:p>
        </w:tc>
      </w:tr>
      <w:tr w14:paraId="7BC11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042" w:type="dxa"/>
            <w:vAlign w:val="top"/>
          </w:tcPr>
          <w:p w14:paraId="4D3DAE39">
            <w:pPr>
              <w:pStyle w:val="6"/>
              <w:spacing w:before="103" w:line="268" w:lineRule="exact"/>
              <w:ind w:left="473"/>
            </w:pPr>
            <w:r>
              <w:rPr>
                <w:position w:val="1"/>
              </w:rPr>
              <w:t>8</w:t>
            </w:r>
          </w:p>
        </w:tc>
        <w:tc>
          <w:tcPr>
            <w:tcW w:w="4715" w:type="dxa"/>
            <w:gridSpan w:val="2"/>
            <w:vAlign w:val="top"/>
          </w:tcPr>
          <w:p w14:paraId="7E0C105B">
            <w:pPr>
              <w:pStyle w:val="6"/>
              <w:spacing w:before="103" w:line="228" w:lineRule="auto"/>
              <w:ind w:left="1943"/>
            </w:pPr>
            <w:r>
              <w:rPr>
                <w:spacing w:val="7"/>
              </w:rPr>
              <w:t>装配质量</w:t>
            </w:r>
          </w:p>
        </w:tc>
        <w:tc>
          <w:tcPr>
            <w:tcW w:w="2413" w:type="dxa"/>
            <w:vAlign w:val="top"/>
          </w:tcPr>
          <w:p w14:paraId="53D53378">
            <w:pPr>
              <w:pStyle w:val="6"/>
              <w:spacing w:before="103" w:line="268" w:lineRule="exact"/>
              <w:ind w:left="370"/>
            </w:pPr>
            <w:r>
              <w:rPr>
                <w:position w:val="1"/>
              </w:rPr>
              <w:t>GB</w:t>
            </w:r>
            <w:r>
              <w:rPr>
                <w:spacing w:val="36"/>
                <w:position w:val="1"/>
              </w:rPr>
              <w:t xml:space="preserve"> </w:t>
            </w:r>
            <w:r>
              <w:rPr>
                <w:spacing w:val="3"/>
                <w:position w:val="1"/>
              </w:rPr>
              <w:t>13511.1—2011</w:t>
            </w:r>
          </w:p>
        </w:tc>
      </w:tr>
    </w:tbl>
    <w:p w14:paraId="34C62F64">
      <w:pPr>
        <w:pStyle w:val="2"/>
        <w:spacing w:before="30" w:line="228" w:lineRule="auto"/>
        <w:ind w:left="424"/>
      </w:pPr>
      <w:r>
        <w:rPr>
          <w:spacing w:val="9"/>
        </w:rPr>
        <w:t>处方中的参数均应符合</w:t>
      </w:r>
      <w:r>
        <w:rPr>
          <w:spacing w:val="-36"/>
        </w:rPr>
        <w:t xml:space="preserve"> </w:t>
      </w:r>
      <w:r>
        <w:t>GB</w:t>
      </w:r>
      <w:r>
        <w:rPr>
          <w:spacing w:val="9"/>
        </w:rPr>
        <w:t xml:space="preserve"> 13511.1-2011要求，检验项目及方法参照上表执行。</w:t>
      </w:r>
    </w:p>
    <w:p w14:paraId="6B314BB0">
      <w:pPr>
        <w:pStyle w:val="2"/>
        <w:spacing w:before="161" w:line="228" w:lineRule="auto"/>
        <w:ind w:left="420"/>
      </w:pPr>
      <w:r>
        <w:rPr>
          <w:spacing w:val="9"/>
        </w:rPr>
        <w:t>执行企业标准、团体标准、地方标准的产品，检验项目参照上述内容执行。</w:t>
      </w:r>
    </w:p>
    <w:p w14:paraId="17CE7DC6">
      <w:pPr>
        <w:pStyle w:val="2"/>
        <w:spacing w:before="162" w:line="380" w:lineRule="auto"/>
        <w:ind w:left="4" w:firstLine="420"/>
      </w:pPr>
      <w:r>
        <w:rPr>
          <w:spacing w:val="8"/>
        </w:rPr>
        <w:t>凡是注日期的文件，其随后所有的修改单（不包括勘误的内容）或修订版不适用于</w:t>
      </w:r>
      <w:r>
        <w:rPr>
          <w:spacing w:val="7"/>
        </w:rPr>
        <w:t>本细则。凡</w:t>
      </w:r>
      <w:r>
        <w:rPr>
          <w:spacing w:val="8"/>
        </w:rPr>
        <w:t>是不注日期的文件，其最新版本适用于本细则。</w:t>
      </w:r>
    </w:p>
    <w:p w14:paraId="1C4E4B40">
      <w:pPr>
        <w:spacing w:before="232" w:line="222" w:lineRule="auto"/>
        <w:ind w:left="1"/>
        <w:outlineLvl w:val="1"/>
        <w:rPr>
          <w:rFonts w:ascii="黑体" w:hAnsi="黑体" w:eastAsia="黑体" w:cs="黑体"/>
          <w:sz w:val="24"/>
          <w:szCs w:val="24"/>
        </w:rPr>
      </w:pPr>
      <w:r>
        <w:rPr>
          <w:rFonts w:ascii="黑体" w:hAnsi="黑体" w:eastAsia="黑体" w:cs="黑体"/>
          <w:spacing w:val="-2"/>
          <w:sz w:val="24"/>
          <w:szCs w:val="24"/>
        </w:rPr>
        <w:t>3 判定规则</w:t>
      </w:r>
    </w:p>
    <w:p w14:paraId="20483F36">
      <w:pPr>
        <w:pStyle w:val="2"/>
        <w:spacing w:before="237" w:line="227" w:lineRule="auto"/>
        <w:ind w:left="4"/>
      </w:pPr>
      <w:r>
        <w:rPr>
          <w:spacing w:val="4"/>
        </w:rPr>
        <w:t>3.1</w:t>
      </w:r>
      <w:r>
        <w:rPr>
          <w:spacing w:val="-37"/>
        </w:rPr>
        <w:t xml:space="preserve"> </w:t>
      </w:r>
      <w:r>
        <w:rPr>
          <w:spacing w:val="4"/>
        </w:rPr>
        <w:t>依据标准</w:t>
      </w:r>
    </w:p>
    <w:p w14:paraId="40DA64F0">
      <w:pPr>
        <w:pStyle w:val="2"/>
        <w:spacing w:before="54" w:line="228" w:lineRule="auto"/>
        <w:ind w:left="418"/>
      </w:pPr>
      <w:r>
        <w:t>GB</w:t>
      </w:r>
      <w:r>
        <w:rPr>
          <w:spacing w:val="6"/>
        </w:rPr>
        <w:t xml:space="preserve"> 13511.1—2011 配装眼镜</w:t>
      </w:r>
      <w:r>
        <w:rPr>
          <w:spacing w:val="18"/>
        </w:rPr>
        <w:t xml:space="preserve"> </w:t>
      </w:r>
      <w:r>
        <w:rPr>
          <w:spacing w:val="6"/>
        </w:rPr>
        <w:t>第</w:t>
      </w:r>
      <w:r>
        <w:rPr>
          <w:spacing w:val="-24"/>
        </w:rPr>
        <w:t xml:space="preserve"> </w:t>
      </w:r>
      <w:r>
        <w:rPr>
          <w:spacing w:val="6"/>
        </w:rPr>
        <w:t>1</w:t>
      </w:r>
      <w:r>
        <w:rPr>
          <w:spacing w:val="-35"/>
        </w:rPr>
        <w:t xml:space="preserve"> </w:t>
      </w:r>
      <w:r>
        <w:rPr>
          <w:spacing w:val="6"/>
        </w:rPr>
        <w:t>部分：单光和多焦点</w:t>
      </w:r>
    </w:p>
    <w:p w14:paraId="59753E33">
      <w:pPr>
        <w:pStyle w:val="2"/>
        <w:spacing w:before="161" w:line="228" w:lineRule="auto"/>
        <w:ind w:left="422"/>
      </w:pPr>
      <w:r>
        <w:rPr>
          <w:spacing w:val="9"/>
        </w:rPr>
        <w:t>现行有效的企业标准、团体标准、地方标准及产品明示质量要求</w:t>
      </w:r>
    </w:p>
    <w:p w14:paraId="1F456A3B">
      <w:pPr>
        <w:pStyle w:val="2"/>
        <w:spacing w:before="304" w:line="228" w:lineRule="auto"/>
        <w:ind w:left="4"/>
      </w:pPr>
      <w:r>
        <w:rPr>
          <w:spacing w:val="4"/>
        </w:rPr>
        <w:t>3.2</w:t>
      </w:r>
      <w:r>
        <w:rPr>
          <w:spacing w:val="-37"/>
        </w:rPr>
        <w:t xml:space="preserve"> </w:t>
      </w:r>
      <w:r>
        <w:rPr>
          <w:spacing w:val="4"/>
        </w:rPr>
        <w:t>判定原则</w:t>
      </w:r>
    </w:p>
    <w:p w14:paraId="374358B6">
      <w:pPr>
        <w:pStyle w:val="2"/>
        <w:spacing w:before="51" w:line="377" w:lineRule="auto"/>
        <w:ind w:left="4" w:firstLine="418"/>
      </w:pPr>
      <w:r>
        <w:rPr>
          <w:spacing w:val="8"/>
        </w:rPr>
        <w:t>经检验，检验项目全部合格，判定为被抽查产品所检项目未发现不合格；检验项目中任一</w:t>
      </w:r>
      <w:r>
        <w:rPr>
          <w:spacing w:val="7"/>
        </w:rPr>
        <w:t>项或</w:t>
      </w:r>
      <w:r>
        <w:rPr>
          <w:spacing w:val="8"/>
        </w:rPr>
        <w:t>一项以上不合格，判定为被抽查产品不合格。</w:t>
      </w:r>
    </w:p>
    <w:p w14:paraId="090BF242">
      <w:pPr>
        <w:pStyle w:val="2"/>
        <w:spacing w:before="2" w:line="380" w:lineRule="auto"/>
        <w:ind w:firstLine="418"/>
      </w:pPr>
      <w:r>
        <w:rPr>
          <w:spacing w:val="8"/>
        </w:rPr>
        <w:t>若被检产品明示的质量要求高于本细则中检验项目依据的标准要求时，应按被检产品明示的质</w:t>
      </w:r>
      <w:r>
        <w:rPr>
          <w:spacing w:val="6"/>
        </w:rPr>
        <w:t>量要求判定。</w:t>
      </w:r>
    </w:p>
    <w:p w14:paraId="250C7215">
      <w:pPr>
        <w:spacing w:line="380" w:lineRule="auto"/>
        <w:sectPr>
          <w:pgSz w:w="11906" w:h="16839"/>
          <w:pgMar w:top="1431" w:right="1475" w:bottom="0" w:left="1481" w:header="0" w:footer="0" w:gutter="0"/>
          <w:cols w:space="720" w:num="1"/>
        </w:sectPr>
      </w:pPr>
    </w:p>
    <w:p w14:paraId="383972EB">
      <w:pPr>
        <w:spacing w:line="258" w:lineRule="auto"/>
        <w:rPr>
          <w:rFonts w:ascii="Arial"/>
          <w:sz w:val="21"/>
        </w:rPr>
      </w:pPr>
    </w:p>
    <w:p w14:paraId="5350FA54">
      <w:pPr>
        <w:spacing w:line="259" w:lineRule="auto"/>
        <w:rPr>
          <w:rFonts w:ascii="Arial"/>
          <w:sz w:val="21"/>
        </w:rPr>
      </w:pPr>
    </w:p>
    <w:p w14:paraId="7A99EBB9">
      <w:pPr>
        <w:pStyle w:val="2"/>
        <w:spacing w:before="65" w:line="377" w:lineRule="auto"/>
        <w:ind w:left="6" w:right="84" w:firstLine="416"/>
      </w:pPr>
      <w:r>
        <w:rPr>
          <w:spacing w:val="8"/>
        </w:rPr>
        <w:t>若被检产品明示的质量要求低于本细则中检验项目依据的强制性标准要求时，应按照强制性标</w:t>
      </w:r>
      <w:r>
        <w:rPr>
          <w:spacing w:val="6"/>
        </w:rPr>
        <w:t>准要求判定。</w:t>
      </w:r>
    </w:p>
    <w:p w14:paraId="1A74361A">
      <w:pPr>
        <w:pStyle w:val="2"/>
        <w:spacing w:before="1" w:line="376" w:lineRule="auto"/>
        <w:ind w:left="5" w:right="84" w:firstLine="418"/>
      </w:pPr>
      <w:r>
        <w:rPr>
          <w:spacing w:val="8"/>
        </w:rPr>
        <w:t>若被检产品明示的质量要求低于或包含本细则中检验项目依据的推荐性标准要求时，应以被检产品明示的质量要求判定。</w:t>
      </w:r>
    </w:p>
    <w:p w14:paraId="1EB2D2C7">
      <w:pPr>
        <w:pStyle w:val="2"/>
        <w:spacing w:before="1" w:line="377" w:lineRule="auto"/>
        <w:ind w:left="6" w:right="84" w:firstLine="416"/>
      </w:pPr>
      <w:r>
        <w:rPr>
          <w:spacing w:val="8"/>
        </w:rPr>
        <w:t>若被检产品明示的质量要求缺少本细则中检验项目依据的强制性标准要求时，应按照强制性标</w:t>
      </w:r>
      <w:r>
        <w:rPr>
          <w:spacing w:val="6"/>
        </w:rPr>
        <w:t>准要求判定。</w:t>
      </w:r>
    </w:p>
    <w:p w14:paraId="6283A747">
      <w:pPr>
        <w:pStyle w:val="2"/>
        <w:spacing w:line="378" w:lineRule="auto"/>
        <w:ind w:left="10" w:right="84" w:firstLine="413"/>
      </w:pPr>
      <w:r>
        <w:rPr>
          <w:spacing w:val="8"/>
        </w:rPr>
        <w:t>若被检产品明示的质量要求缺少本细则中检验项目依据的推荐性标准要求时，该项目不参与判</w:t>
      </w:r>
      <w:r>
        <w:rPr>
          <w:spacing w:val="-3"/>
        </w:rPr>
        <w:t>定。</w:t>
      </w:r>
    </w:p>
    <w:p w14:paraId="0C596E2D">
      <w:pPr>
        <w:spacing w:before="235" w:line="222" w:lineRule="auto"/>
        <w:outlineLvl w:val="1"/>
        <w:rPr>
          <w:rFonts w:ascii="黑体" w:hAnsi="黑体" w:eastAsia="黑体" w:cs="黑体"/>
          <w:sz w:val="24"/>
          <w:szCs w:val="24"/>
        </w:rPr>
      </w:pPr>
      <w:r>
        <w:rPr>
          <w:rFonts w:ascii="黑体" w:hAnsi="黑体" w:eastAsia="黑体" w:cs="黑体"/>
          <w:spacing w:val="-9"/>
          <w:sz w:val="24"/>
          <w:szCs w:val="24"/>
        </w:rPr>
        <w:t>4</w:t>
      </w:r>
      <w:r>
        <w:rPr>
          <w:rFonts w:ascii="黑体" w:hAnsi="黑体" w:eastAsia="黑体" w:cs="黑体"/>
          <w:spacing w:val="23"/>
          <w:sz w:val="24"/>
          <w:szCs w:val="24"/>
        </w:rPr>
        <w:t xml:space="preserve"> </w:t>
      </w:r>
      <w:r>
        <w:rPr>
          <w:rFonts w:ascii="黑体" w:hAnsi="黑体" w:eastAsia="黑体" w:cs="黑体"/>
          <w:spacing w:val="-9"/>
          <w:sz w:val="24"/>
          <w:szCs w:val="24"/>
        </w:rPr>
        <w:t>附则</w:t>
      </w:r>
    </w:p>
    <w:p w14:paraId="29A8C441">
      <w:pPr>
        <w:pStyle w:val="2"/>
        <w:spacing w:before="194" w:line="433" w:lineRule="auto"/>
        <w:ind w:left="15" w:firstLine="410"/>
      </w:pPr>
      <w:r>
        <w:rPr>
          <w:spacing w:val="12"/>
        </w:rPr>
        <w:t>本细则代替《吉林省市场监督管理厅关于发布吉林省产品质量监督抽查实施细则（20</w:t>
      </w:r>
      <w:r>
        <w:rPr>
          <w:spacing w:val="11"/>
        </w:rPr>
        <w:t>23 版）</w:t>
      </w:r>
      <w:r>
        <w:t xml:space="preserve"> </w:t>
      </w:r>
      <w:r>
        <w:rPr>
          <w:spacing w:val="4"/>
        </w:rPr>
        <w:t>（第</w:t>
      </w:r>
      <w:r>
        <w:rPr>
          <w:spacing w:val="-33"/>
        </w:rPr>
        <w:t xml:space="preserve"> </w:t>
      </w:r>
      <w:r>
        <w:rPr>
          <w:spacing w:val="4"/>
        </w:rPr>
        <w:t>5</w:t>
      </w:r>
      <w:r>
        <w:rPr>
          <w:spacing w:val="-39"/>
        </w:rPr>
        <w:t xml:space="preserve"> </w:t>
      </w:r>
      <w:r>
        <w:rPr>
          <w:spacing w:val="4"/>
        </w:rPr>
        <w:t>批）的通告》中的《吉林省定配眼镜产品质量监督抽查实施</w:t>
      </w:r>
      <w:r>
        <w:rPr>
          <w:spacing w:val="3"/>
        </w:rPr>
        <w:t>细则（2023 年版）》。</w:t>
      </w:r>
    </w:p>
    <w:sectPr>
      <w:pgSz w:w="11906" w:h="16839"/>
      <w:pgMar w:top="1431" w:right="1390" w:bottom="0" w:left="147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598B65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790</Words>
  <Characters>905</Characters>
  <TotalTime>0</TotalTime>
  <ScaleCrop>false</ScaleCrop>
  <LinksUpToDate>false</LinksUpToDate>
  <CharactersWithSpaces>934</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2024-08-15T15:07:00Z</dcterms:created>
  <dc:creator>Legend User</dc:creator>
  <cp:lastModifiedBy>吕海生</cp:lastModifiedBy>
  <dcterms:modified xsi:type="dcterms:W3CDTF">2025-11-25T05:48:44Z</dcterms:modified>
  <dc:title>××产品质量监督抽查实施细则</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2025-11-25T13:48:15Z</vt:filetime>
  </property>
  <property fmtid="{D5CDD505-2E9C-101B-9397-08002B2CF9AE}" pid="4" name="KSOTemplateDocerSaveRecord">
    <vt:lpwstr>eyJoZGlkIjoiZjMyMjAyZTEwMmRiNmQ3MTY3Njg5NjkzZDk4NmJjMTQiLCJ1c2VySWQiOiIzOTc3NzE4MTMifQ==</vt:lpwstr>
  </property>
  <property fmtid="{D5CDD505-2E9C-101B-9397-08002B2CF9AE}" pid="5" name="KSOProductBuildVer">
    <vt:lpwstr>2052-12.1.0.23542</vt:lpwstr>
  </property>
  <property fmtid="{D5CDD505-2E9C-101B-9397-08002B2CF9AE}" pid="6" name="ICV">
    <vt:lpwstr>EB81E0465E9C4ADB8595DCD5FDE7D46D_12</vt:lpwstr>
  </property>
</Properties>
</file>