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CF2F2">
      <w:pPr>
        <w:snapToGrid w:val="0"/>
        <w:spacing w:line="360" w:lineRule="auto"/>
        <w:jc w:val="center"/>
        <w:rPr>
          <w:rFonts w:hint="eastAsia" w:ascii="仿宋" w:hAnsi="仿宋" w:eastAsia="仿宋" w:cs="仿宋"/>
          <w:color w:val="000000"/>
          <w:sz w:val="36"/>
          <w:szCs w:val="36"/>
        </w:rPr>
      </w:pPr>
      <w:r>
        <w:rPr>
          <w:rFonts w:hint="eastAsia" w:ascii="仿宋" w:hAnsi="仿宋" w:eastAsia="仿宋" w:cs="仿宋"/>
          <w:color w:val="000000"/>
          <w:sz w:val="36"/>
          <w:szCs w:val="36"/>
        </w:rPr>
        <w:t>长春市检查井盖产品质量监督抽查实施细则</w:t>
      </w:r>
    </w:p>
    <w:p w14:paraId="026A7275">
      <w:pPr>
        <w:snapToGrid w:val="0"/>
        <w:spacing w:line="360" w:lineRule="auto"/>
        <w:jc w:val="center"/>
        <w:rPr>
          <w:rFonts w:hint="default" w:ascii="仿宋" w:hAnsi="仿宋" w:eastAsia="仿宋" w:cs="仿宋"/>
          <w:color w:val="000000"/>
          <w:sz w:val="36"/>
          <w:szCs w:val="36"/>
          <w:lang w:val="en-US" w:eastAsia="zh-CN"/>
        </w:rPr>
      </w:pPr>
      <w:r>
        <w:rPr>
          <w:rFonts w:hint="eastAsia" w:ascii="仿宋" w:hAnsi="仿宋" w:eastAsia="仿宋" w:cs="仿宋"/>
          <w:color w:val="000000"/>
          <w:sz w:val="36"/>
          <w:szCs w:val="36"/>
          <w:lang w:val="en-US" w:eastAsia="zh-CN"/>
        </w:rPr>
        <w:t>（2025年版）</w:t>
      </w:r>
    </w:p>
    <w:p w14:paraId="0E584D07">
      <w:pPr>
        <w:snapToGrid w:val="0"/>
        <w:spacing w:line="440" w:lineRule="exact"/>
        <w:ind w:firstLine="420" w:firstLineChars="200"/>
        <w:rPr>
          <w:rFonts w:ascii="Times New Roman" w:hAnsi="Times New Roman"/>
          <w:szCs w:val="21"/>
        </w:rPr>
      </w:pPr>
      <w:r>
        <w:rPr>
          <w:rFonts w:hint="eastAsia" w:ascii="Times New Roman" w:hAnsi="Times New Roman"/>
          <w:szCs w:val="21"/>
        </w:rPr>
        <w:t>1 抽样方法</w:t>
      </w:r>
    </w:p>
    <w:p w14:paraId="4AC68128">
      <w:pPr>
        <w:snapToGrid w:val="0"/>
        <w:spacing w:line="440" w:lineRule="exact"/>
        <w:ind w:firstLine="420" w:firstLineChars="200"/>
        <w:rPr>
          <w:rFonts w:ascii="Times New Roman" w:hAnsi="Times New Roman"/>
          <w:szCs w:val="21"/>
        </w:rPr>
      </w:pPr>
      <w:r>
        <w:rPr>
          <w:rFonts w:hint="eastAsia" w:ascii="Times New Roman" w:hAnsi="Times New Roman"/>
          <w:szCs w:val="21"/>
        </w:rPr>
        <w:t>1.1抽样型号或规格</w:t>
      </w:r>
    </w:p>
    <w:p w14:paraId="5C5E51EA">
      <w:pPr>
        <w:snapToGrid w:val="0"/>
        <w:spacing w:line="440" w:lineRule="exact"/>
        <w:ind w:firstLine="420" w:firstLineChars="200"/>
        <w:rPr>
          <w:rFonts w:ascii="Times New Roman" w:hAnsi="Times New Roman"/>
          <w:szCs w:val="21"/>
        </w:rPr>
      </w:pPr>
      <w:r>
        <w:rPr>
          <w:rFonts w:hint="eastAsia" w:ascii="Times New Roman" w:hAnsi="Times New Roman"/>
          <w:szCs w:val="21"/>
        </w:rPr>
        <w:t>抽取产品应为同一类别、同一规格，同一原材料的产品。</w:t>
      </w:r>
    </w:p>
    <w:p w14:paraId="69EE3379">
      <w:pPr>
        <w:snapToGrid w:val="0"/>
        <w:spacing w:line="440" w:lineRule="exact"/>
        <w:ind w:firstLine="420" w:firstLineChars="200"/>
        <w:rPr>
          <w:rFonts w:ascii="Times New Roman" w:hAnsi="Times New Roman"/>
          <w:szCs w:val="21"/>
        </w:rPr>
      </w:pPr>
      <w:r>
        <w:rPr>
          <w:rFonts w:hint="eastAsia" w:ascii="Times New Roman" w:hAnsi="Times New Roman"/>
          <w:szCs w:val="21"/>
        </w:rPr>
        <w:t>1.2抽样方法、基数及数量</w:t>
      </w:r>
    </w:p>
    <w:p w14:paraId="0BAAA266">
      <w:pPr>
        <w:snapToGrid w:val="0"/>
        <w:spacing w:line="440" w:lineRule="exact"/>
        <w:ind w:firstLine="420" w:firstLineChars="200"/>
        <w:rPr>
          <w:rFonts w:ascii="Times New Roman" w:hAnsi="Times New Roman"/>
          <w:szCs w:val="21"/>
        </w:rPr>
      </w:pPr>
      <w:r>
        <w:rPr>
          <w:rFonts w:hint="eastAsia" w:ascii="Times New Roman" w:hAnsi="Times New Roman"/>
          <w:szCs w:val="21"/>
        </w:rPr>
        <w:t>1.2.1以随机抽样的方式在被抽样生产者（经销者）的待销产品中抽取。随机数一般可使用随机数表等方法产生。备用样品封存于受检单位。</w:t>
      </w:r>
    </w:p>
    <w:p w14:paraId="264AD9BA">
      <w:pPr>
        <w:snapToGrid w:val="0"/>
        <w:spacing w:line="440" w:lineRule="exact"/>
        <w:ind w:firstLine="420" w:firstLineChars="200"/>
        <w:rPr>
          <w:rFonts w:ascii="Times New Roman" w:hAnsi="Times New Roman"/>
          <w:szCs w:val="21"/>
        </w:rPr>
      </w:pPr>
      <w:r>
        <w:rPr>
          <w:rFonts w:hint="eastAsia" w:ascii="Times New Roman" w:hAnsi="Times New Roman"/>
          <w:szCs w:val="21"/>
        </w:rPr>
        <w:t>1.2.2检验数量：</w:t>
      </w:r>
    </w:p>
    <w:p w14:paraId="043A7E8E">
      <w:pPr>
        <w:snapToGrid w:val="0"/>
        <w:spacing w:line="440" w:lineRule="exact"/>
        <w:ind w:firstLine="420" w:firstLineChars="200"/>
        <w:rPr>
          <w:rFonts w:ascii="Times New Roman" w:hAnsi="Times New Roman"/>
          <w:szCs w:val="21"/>
        </w:rPr>
      </w:pPr>
      <w:r>
        <w:rPr>
          <w:rFonts w:hint="eastAsia" w:ascii="Times New Roman" w:hAnsi="Times New Roman"/>
          <w:szCs w:val="21"/>
        </w:rPr>
        <w:t>检查井盖抽取4套。2套作为检验用样品，2套作为备用样品。</w:t>
      </w:r>
    </w:p>
    <w:p w14:paraId="506EA5A1">
      <w:pPr>
        <w:snapToGrid w:val="0"/>
        <w:spacing w:line="440" w:lineRule="exact"/>
        <w:ind w:firstLine="420" w:firstLineChars="200"/>
        <w:rPr>
          <w:rFonts w:ascii="Times New Roman" w:hAnsi="Times New Roman"/>
          <w:szCs w:val="21"/>
        </w:rPr>
      </w:pPr>
      <w:r>
        <w:rPr>
          <w:rFonts w:hint="eastAsia" w:ascii="Times New Roman" w:hAnsi="Times New Roman"/>
          <w:szCs w:val="21"/>
        </w:rPr>
        <w:t>1.2.3抽样基数满足抽样数量即可。</w:t>
      </w:r>
    </w:p>
    <w:p w14:paraId="5C7C3A19">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2 检验要求</w:t>
      </w:r>
    </w:p>
    <w:p w14:paraId="471F0D34">
      <w:pPr>
        <w:spacing w:line="300" w:lineRule="auto"/>
        <w:jc w:val="center"/>
        <w:rPr>
          <w:rFonts w:ascii="仿宋" w:hAnsi="仿宋" w:eastAsia="仿宋" w:cs="仿宋"/>
          <w:sz w:val="28"/>
          <w:szCs w:val="28"/>
        </w:rPr>
      </w:pPr>
      <w:r>
        <w:rPr>
          <w:rFonts w:hint="eastAsia" w:ascii="仿宋" w:hAnsi="仿宋" w:eastAsia="仿宋" w:cs="仿宋"/>
          <w:sz w:val="28"/>
          <w:szCs w:val="28"/>
        </w:rPr>
        <w:t>表1</w:t>
      </w:r>
      <w:r>
        <w:rPr>
          <w:rFonts w:hint="eastAsia" w:ascii="仿宋" w:hAnsi="仿宋" w:eastAsia="仿宋" w:cs="仿宋"/>
          <w:color w:val="000000"/>
          <w:spacing w:val="-10"/>
          <w:sz w:val="28"/>
          <w:szCs w:val="28"/>
        </w:rPr>
        <w:t>检查井盖</w:t>
      </w:r>
      <w:r>
        <w:rPr>
          <w:rFonts w:hint="eastAsia" w:ascii="仿宋" w:hAnsi="仿宋" w:eastAsia="仿宋" w:cs="宋体"/>
          <w:color w:val="000000"/>
          <w:sz w:val="28"/>
          <w:szCs w:val="28"/>
        </w:rPr>
        <w:t xml:space="preserve"> </w:t>
      </w:r>
      <w:r>
        <w:rPr>
          <w:rFonts w:hint="eastAsia" w:ascii="仿宋" w:hAnsi="仿宋" w:eastAsia="仿宋" w:cs="仿宋"/>
          <w:sz w:val="28"/>
          <w:szCs w:val="28"/>
        </w:rPr>
        <w:t>检验项目</w:t>
      </w:r>
    </w:p>
    <w:tbl>
      <w:tblPr>
        <w:tblStyle w:val="5"/>
        <w:tblW w:w="7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912"/>
        <w:gridCol w:w="3538"/>
      </w:tblGrid>
      <w:tr w14:paraId="21616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27" w:type="dxa"/>
            <w:vMerge w:val="restart"/>
            <w:tcBorders>
              <w:top w:val="single" w:color="auto" w:sz="4" w:space="0"/>
              <w:left w:val="single" w:color="auto" w:sz="4" w:space="0"/>
              <w:bottom w:val="single" w:color="auto" w:sz="4" w:space="0"/>
              <w:right w:val="single" w:color="auto" w:sz="4" w:space="0"/>
            </w:tcBorders>
            <w:noWrap/>
            <w:vAlign w:val="center"/>
          </w:tcPr>
          <w:p w14:paraId="348E9078">
            <w:pPr>
              <w:spacing w:line="320" w:lineRule="exact"/>
              <w:jc w:val="center"/>
              <w:rPr>
                <w:rFonts w:ascii="仿宋" w:hAnsi="仿宋" w:eastAsia="仿宋" w:cs="仿宋"/>
                <w:sz w:val="21"/>
                <w:szCs w:val="21"/>
              </w:rPr>
            </w:pPr>
            <w:r>
              <w:rPr>
                <w:rFonts w:hint="eastAsia" w:ascii="仿宋" w:hAnsi="仿宋" w:eastAsia="仿宋" w:cs="仿宋"/>
                <w:sz w:val="21"/>
                <w:szCs w:val="21"/>
              </w:rPr>
              <w:t>序号</w:t>
            </w:r>
          </w:p>
        </w:tc>
        <w:tc>
          <w:tcPr>
            <w:tcW w:w="2912" w:type="dxa"/>
            <w:vMerge w:val="restart"/>
            <w:tcBorders>
              <w:top w:val="single" w:color="auto" w:sz="4" w:space="0"/>
              <w:left w:val="single" w:color="auto" w:sz="4" w:space="0"/>
              <w:bottom w:val="single" w:color="auto" w:sz="4" w:space="0"/>
              <w:right w:val="single" w:color="auto" w:sz="4" w:space="0"/>
            </w:tcBorders>
            <w:noWrap/>
            <w:vAlign w:val="center"/>
          </w:tcPr>
          <w:p w14:paraId="05A869E0">
            <w:pPr>
              <w:spacing w:line="320" w:lineRule="exact"/>
              <w:jc w:val="center"/>
              <w:rPr>
                <w:rFonts w:ascii="仿宋" w:hAnsi="仿宋" w:eastAsia="仿宋" w:cs="仿宋"/>
                <w:sz w:val="21"/>
                <w:szCs w:val="21"/>
              </w:rPr>
            </w:pPr>
            <w:r>
              <w:rPr>
                <w:rFonts w:hint="eastAsia" w:ascii="仿宋" w:hAnsi="仿宋" w:eastAsia="仿宋" w:cs="仿宋"/>
                <w:sz w:val="21"/>
                <w:szCs w:val="21"/>
              </w:rPr>
              <w:t>检验项目</w:t>
            </w:r>
          </w:p>
        </w:tc>
        <w:tc>
          <w:tcPr>
            <w:tcW w:w="3538" w:type="dxa"/>
            <w:vMerge w:val="restart"/>
            <w:tcBorders>
              <w:top w:val="single" w:color="auto" w:sz="4" w:space="0"/>
              <w:left w:val="single" w:color="auto" w:sz="4" w:space="0"/>
              <w:bottom w:val="single" w:color="auto" w:sz="4" w:space="0"/>
              <w:right w:val="single" w:color="auto" w:sz="4" w:space="0"/>
            </w:tcBorders>
            <w:noWrap/>
            <w:vAlign w:val="center"/>
          </w:tcPr>
          <w:p w14:paraId="2AFA07D5">
            <w:pPr>
              <w:spacing w:line="320" w:lineRule="exact"/>
              <w:jc w:val="center"/>
              <w:rPr>
                <w:rFonts w:ascii="仿宋" w:hAnsi="仿宋" w:eastAsia="仿宋" w:cs="仿宋"/>
                <w:sz w:val="21"/>
                <w:szCs w:val="21"/>
              </w:rPr>
            </w:pPr>
            <w:r>
              <w:rPr>
                <w:rFonts w:hint="eastAsia" w:ascii="仿宋" w:hAnsi="仿宋" w:eastAsia="仿宋" w:cs="仿宋"/>
                <w:sz w:val="21"/>
                <w:szCs w:val="21"/>
              </w:rPr>
              <w:t>检验方法</w:t>
            </w:r>
          </w:p>
        </w:tc>
      </w:tr>
      <w:tr w14:paraId="197A0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27" w:type="dxa"/>
            <w:vMerge w:val="continue"/>
            <w:tcBorders>
              <w:top w:val="single" w:color="auto" w:sz="4" w:space="0"/>
              <w:left w:val="single" w:color="auto" w:sz="4" w:space="0"/>
              <w:bottom w:val="single" w:color="auto" w:sz="4" w:space="0"/>
              <w:right w:val="single" w:color="auto" w:sz="4" w:space="0"/>
            </w:tcBorders>
            <w:noWrap/>
            <w:vAlign w:val="center"/>
          </w:tcPr>
          <w:p w14:paraId="72EAF017">
            <w:pPr>
              <w:widowControl/>
              <w:spacing w:line="320" w:lineRule="exact"/>
              <w:jc w:val="left"/>
              <w:rPr>
                <w:rFonts w:ascii="仿宋" w:hAnsi="仿宋" w:eastAsia="仿宋" w:cs="仿宋"/>
                <w:sz w:val="21"/>
                <w:szCs w:val="21"/>
              </w:rPr>
            </w:pPr>
          </w:p>
        </w:tc>
        <w:tc>
          <w:tcPr>
            <w:tcW w:w="2912" w:type="dxa"/>
            <w:vMerge w:val="continue"/>
            <w:tcBorders>
              <w:top w:val="single" w:color="auto" w:sz="4" w:space="0"/>
              <w:left w:val="single" w:color="auto" w:sz="4" w:space="0"/>
              <w:bottom w:val="single" w:color="auto" w:sz="4" w:space="0"/>
              <w:right w:val="single" w:color="auto" w:sz="4" w:space="0"/>
            </w:tcBorders>
            <w:noWrap/>
            <w:vAlign w:val="center"/>
          </w:tcPr>
          <w:p w14:paraId="4EB892C5">
            <w:pPr>
              <w:widowControl/>
              <w:spacing w:line="320" w:lineRule="exact"/>
              <w:jc w:val="center"/>
              <w:rPr>
                <w:rFonts w:ascii="仿宋" w:hAnsi="仿宋" w:eastAsia="仿宋" w:cs="仿宋"/>
                <w:sz w:val="21"/>
                <w:szCs w:val="21"/>
              </w:rPr>
            </w:pPr>
          </w:p>
        </w:tc>
        <w:tc>
          <w:tcPr>
            <w:tcW w:w="3538" w:type="dxa"/>
            <w:vMerge w:val="continue"/>
            <w:tcBorders>
              <w:top w:val="single" w:color="auto" w:sz="4" w:space="0"/>
              <w:left w:val="single" w:color="auto" w:sz="4" w:space="0"/>
              <w:bottom w:val="single" w:color="auto" w:sz="4" w:space="0"/>
              <w:right w:val="single" w:color="auto" w:sz="4" w:space="0"/>
            </w:tcBorders>
            <w:noWrap/>
            <w:vAlign w:val="center"/>
          </w:tcPr>
          <w:p w14:paraId="2833F26A">
            <w:pPr>
              <w:widowControl/>
              <w:spacing w:line="320" w:lineRule="exact"/>
              <w:jc w:val="left"/>
              <w:rPr>
                <w:rFonts w:ascii="仿宋" w:hAnsi="仿宋" w:eastAsia="仿宋" w:cs="仿宋"/>
                <w:sz w:val="21"/>
                <w:szCs w:val="21"/>
              </w:rPr>
            </w:pPr>
          </w:p>
        </w:tc>
      </w:tr>
      <w:tr w14:paraId="2845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827" w:type="dxa"/>
            <w:tcBorders>
              <w:top w:val="single" w:color="auto" w:sz="4" w:space="0"/>
              <w:left w:val="single" w:color="auto" w:sz="4" w:space="0"/>
              <w:bottom w:val="single" w:color="auto" w:sz="4" w:space="0"/>
              <w:right w:val="single" w:color="auto" w:sz="4" w:space="0"/>
            </w:tcBorders>
            <w:noWrap/>
            <w:vAlign w:val="center"/>
          </w:tcPr>
          <w:p w14:paraId="1FD75768">
            <w:pPr>
              <w:jc w:val="center"/>
              <w:rPr>
                <w:rFonts w:ascii="仿宋" w:hAnsi="仿宋" w:eastAsia="仿宋" w:cs="仿宋"/>
                <w:sz w:val="21"/>
                <w:szCs w:val="21"/>
              </w:rPr>
            </w:pPr>
            <w:r>
              <w:rPr>
                <w:rFonts w:hint="eastAsia" w:ascii="仿宋" w:hAnsi="仿宋" w:eastAsia="仿宋" w:cs="仿宋"/>
                <w:sz w:val="21"/>
                <w:szCs w:val="21"/>
              </w:rPr>
              <w:t>1</w:t>
            </w:r>
          </w:p>
        </w:tc>
        <w:tc>
          <w:tcPr>
            <w:tcW w:w="2912" w:type="dxa"/>
            <w:tcBorders>
              <w:top w:val="single" w:color="auto" w:sz="4" w:space="0"/>
              <w:left w:val="single" w:color="auto" w:sz="4" w:space="0"/>
              <w:bottom w:val="single" w:color="auto" w:sz="4" w:space="0"/>
              <w:right w:val="single" w:color="auto" w:sz="4" w:space="0"/>
            </w:tcBorders>
            <w:noWrap/>
            <w:vAlign w:val="center"/>
          </w:tcPr>
          <w:p w14:paraId="69D1F0A5">
            <w:pPr>
              <w:jc w:val="center"/>
              <w:rPr>
                <w:rFonts w:ascii="仿宋" w:hAnsi="仿宋" w:eastAsia="仿宋"/>
                <w:color w:val="000000"/>
                <w:sz w:val="21"/>
                <w:szCs w:val="21"/>
              </w:rPr>
            </w:pPr>
            <w:r>
              <w:rPr>
                <w:rFonts w:hint="eastAsia" w:ascii="仿宋" w:hAnsi="仿宋" w:eastAsia="仿宋"/>
                <w:color w:val="000000"/>
                <w:sz w:val="21"/>
                <w:szCs w:val="21"/>
              </w:rPr>
              <w:t>承载能力</w:t>
            </w:r>
          </w:p>
        </w:tc>
        <w:tc>
          <w:tcPr>
            <w:tcW w:w="3538" w:type="dxa"/>
            <w:tcBorders>
              <w:top w:val="single" w:color="auto" w:sz="4" w:space="0"/>
              <w:left w:val="single" w:color="auto" w:sz="4" w:space="0"/>
              <w:bottom w:val="single" w:color="auto" w:sz="4" w:space="0"/>
              <w:right w:val="single" w:color="auto" w:sz="4" w:space="0"/>
            </w:tcBorders>
            <w:noWrap/>
            <w:vAlign w:val="center"/>
          </w:tcPr>
          <w:p w14:paraId="4C903F00">
            <w:pPr>
              <w:jc w:val="center"/>
              <w:rPr>
                <w:rFonts w:ascii="仿宋" w:hAnsi="仿宋" w:eastAsia="仿宋"/>
                <w:color w:val="000000"/>
                <w:sz w:val="21"/>
                <w:szCs w:val="21"/>
              </w:rPr>
            </w:pPr>
            <w:r>
              <w:rPr>
                <w:rFonts w:hint="eastAsia" w:ascii="仿宋" w:hAnsi="仿宋" w:eastAsia="仿宋"/>
                <w:color w:val="000000"/>
                <w:sz w:val="21"/>
                <w:szCs w:val="21"/>
              </w:rPr>
              <w:t>GB/T 23858-2009</w:t>
            </w:r>
          </w:p>
        </w:tc>
      </w:tr>
    </w:tbl>
    <w:p w14:paraId="052AAD10">
      <w:pPr>
        <w:spacing w:line="300" w:lineRule="auto"/>
        <w:rPr>
          <w:rFonts w:ascii="仿宋" w:hAnsi="仿宋" w:eastAsia="仿宋" w:cs="仿宋"/>
          <w:sz w:val="28"/>
          <w:szCs w:val="28"/>
        </w:rPr>
      </w:pPr>
    </w:p>
    <w:p w14:paraId="6941A9DE">
      <w:pPr>
        <w:widowControl/>
        <w:ind w:left="-199" w:leftChars="-95" w:firstLine="190" w:firstLineChars="100"/>
        <w:jc w:val="left"/>
        <w:rPr>
          <w:rFonts w:ascii="仿宋" w:hAnsi="仿宋" w:eastAsia="仿宋" w:cs="仿宋"/>
          <w:color w:val="000000"/>
          <w:spacing w:val="-10"/>
          <w:sz w:val="21"/>
          <w:szCs w:val="21"/>
        </w:rPr>
      </w:pPr>
      <w:r>
        <w:rPr>
          <w:rFonts w:hint="eastAsia" w:ascii="仿宋" w:hAnsi="仿宋" w:eastAsia="仿宋" w:cs="仿宋"/>
          <w:color w:val="000000"/>
          <w:spacing w:val="-10"/>
          <w:sz w:val="21"/>
          <w:szCs w:val="21"/>
        </w:rPr>
        <w:t>注：凡是注日期的文件，其随后所有的修改单（不包括勘误的内容）或修订版不适用于本细则。凡是不注日期的文件，其最新版本适用于本细则。</w:t>
      </w:r>
    </w:p>
    <w:p w14:paraId="7D7DCFA3">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3 判定规则</w:t>
      </w:r>
    </w:p>
    <w:p w14:paraId="643437A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3.1依据标准</w:t>
      </w:r>
    </w:p>
    <w:p w14:paraId="36562AA6">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GB/T 23858-2009  检查井盖</w:t>
      </w:r>
    </w:p>
    <w:p w14:paraId="7D856318">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相关的法律、行政法规、部门规章、规范性文件</w:t>
      </w:r>
    </w:p>
    <w:p w14:paraId="27FD628A">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 xml:space="preserve">    现行有效的行业标准、企业标准、团体标准、地方标准及产品明示质量要求</w:t>
      </w:r>
    </w:p>
    <w:p w14:paraId="3B4D32A3">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3.2判定原则</w:t>
      </w:r>
    </w:p>
    <w:p w14:paraId="54E7C5F2">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经检验，检验项目全部合格，判定为被抽查产品合格；检验项目中任一项或一项以上不合格，判定为被抽查产品不合格。</w:t>
      </w:r>
    </w:p>
    <w:p w14:paraId="2D34C3EA">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若被检产品明示的质量要求高于本细则中检验项目依据的标准要求时，应按被检产品明示的质量要求判定。</w:t>
      </w:r>
    </w:p>
    <w:p w14:paraId="0AA512E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若被检产品明示的质量要求低于本细则中检验项目依据的强制性标准要求时，应按照强制性标准要求判定。</w:t>
      </w:r>
    </w:p>
    <w:p w14:paraId="4A5EA2D9">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若被检产品明示的质量要求低于或包含本细则中检验项目依据的推荐性标准要求时，应以被检产品明示的质量要求判定。</w:t>
      </w:r>
    </w:p>
    <w:p w14:paraId="5C73B61B">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若被检产品明示的质量要求缺少本细则中检验项目依据的强制性标准要求时，应按照强制性标准要求判定。</w:t>
      </w:r>
    </w:p>
    <w:p w14:paraId="6F5671A7">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szCs w:val="21"/>
        </w:rPr>
      </w:pPr>
      <w:r>
        <w:rPr>
          <w:rFonts w:hint="eastAsia" w:ascii="Times New Roman" w:hAnsi="Times New Roman"/>
          <w:szCs w:val="21"/>
        </w:rPr>
        <w:t>若被检产品明示的质量要求缺少本细则中检验项目依据的推荐性标准要求时，该项目不参与判定。</w:t>
      </w:r>
    </w:p>
    <w:p w14:paraId="70D756C8">
      <w:pPr>
        <w:widowControl/>
        <w:ind w:firstLine="465"/>
        <w:jc w:val="left"/>
        <w:rPr>
          <w:rFonts w:ascii="仿宋" w:hAnsi="仿宋" w:eastAsia="仿宋" w:cs="仿宋"/>
          <w:color w:val="000000"/>
          <w:spacing w:val="-10"/>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2FjNmZlMDVlYzI3NTE0NjBjZmM3NmY4MjA1ZjUifQ=="/>
  </w:docVars>
  <w:rsids>
    <w:rsidRoot w:val="00DC0F2E"/>
    <w:rsid w:val="00014D9B"/>
    <w:rsid w:val="00017C84"/>
    <w:rsid w:val="00030AE9"/>
    <w:rsid w:val="000974EE"/>
    <w:rsid w:val="000C5367"/>
    <w:rsid w:val="000D7874"/>
    <w:rsid w:val="000D7B97"/>
    <w:rsid w:val="000F499B"/>
    <w:rsid w:val="00137782"/>
    <w:rsid w:val="00150703"/>
    <w:rsid w:val="001641F9"/>
    <w:rsid w:val="00172146"/>
    <w:rsid w:val="00177E0B"/>
    <w:rsid w:val="00180380"/>
    <w:rsid w:val="001B3260"/>
    <w:rsid w:val="001D01F5"/>
    <w:rsid w:val="001E03A1"/>
    <w:rsid w:val="002068D8"/>
    <w:rsid w:val="00206B7D"/>
    <w:rsid w:val="00222034"/>
    <w:rsid w:val="00253C17"/>
    <w:rsid w:val="002803B7"/>
    <w:rsid w:val="0028351A"/>
    <w:rsid w:val="002B7C84"/>
    <w:rsid w:val="002F6037"/>
    <w:rsid w:val="0037194D"/>
    <w:rsid w:val="00372506"/>
    <w:rsid w:val="00383974"/>
    <w:rsid w:val="003876F2"/>
    <w:rsid w:val="00390D80"/>
    <w:rsid w:val="003B2924"/>
    <w:rsid w:val="00406033"/>
    <w:rsid w:val="00415040"/>
    <w:rsid w:val="00422544"/>
    <w:rsid w:val="0042777F"/>
    <w:rsid w:val="00446EE1"/>
    <w:rsid w:val="00452094"/>
    <w:rsid w:val="0049505F"/>
    <w:rsid w:val="004D0E0A"/>
    <w:rsid w:val="004D71FD"/>
    <w:rsid w:val="005064CE"/>
    <w:rsid w:val="00523769"/>
    <w:rsid w:val="00535C6C"/>
    <w:rsid w:val="00553C0F"/>
    <w:rsid w:val="0056136D"/>
    <w:rsid w:val="0057053F"/>
    <w:rsid w:val="00574722"/>
    <w:rsid w:val="005A4564"/>
    <w:rsid w:val="005B70FF"/>
    <w:rsid w:val="005C77CB"/>
    <w:rsid w:val="005D32B0"/>
    <w:rsid w:val="005D6B26"/>
    <w:rsid w:val="005E396A"/>
    <w:rsid w:val="005E72CD"/>
    <w:rsid w:val="006035EF"/>
    <w:rsid w:val="006334E1"/>
    <w:rsid w:val="00634ECF"/>
    <w:rsid w:val="00640CAC"/>
    <w:rsid w:val="006561AE"/>
    <w:rsid w:val="006622E0"/>
    <w:rsid w:val="006624E8"/>
    <w:rsid w:val="00675DB1"/>
    <w:rsid w:val="006762D0"/>
    <w:rsid w:val="006A1146"/>
    <w:rsid w:val="006A2CDE"/>
    <w:rsid w:val="006B7FC4"/>
    <w:rsid w:val="006C7C7A"/>
    <w:rsid w:val="006D3660"/>
    <w:rsid w:val="00704368"/>
    <w:rsid w:val="00711B5C"/>
    <w:rsid w:val="0073754B"/>
    <w:rsid w:val="00744839"/>
    <w:rsid w:val="007775CB"/>
    <w:rsid w:val="007B43C4"/>
    <w:rsid w:val="007D3590"/>
    <w:rsid w:val="007D6750"/>
    <w:rsid w:val="008014E2"/>
    <w:rsid w:val="00812206"/>
    <w:rsid w:val="008660D2"/>
    <w:rsid w:val="008724BB"/>
    <w:rsid w:val="008C0C08"/>
    <w:rsid w:val="008C253C"/>
    <w:rsid w:val="008D3DED"/>
    <w:rsid w:val="008F4369"/>
    <w:rsid w:val="00913A26"/>
    <w:rsid w:val="00915CA3"/>
    <w:rsid w:val="00954D8A"/>
    <w:rsid w:val="00977C23"/>
    <w:rsid w:val="00997F84"/>
    <w:rsid w:val="009A6C8E"/>
    <w:rsid w:val="009E4B0F"/>
    <w:rsid w:val="009F0636"/>
    <w:rsid w:val="00A05CFA"/>
    <w:rsid w:val="00A1407C"/>
    <w:rsid w:val="00A22D86"/>
    <w:rsid w:val="00A233CA"/>
    <w:rsid w:val="00A33429"/>
    <w:rsid w:val="00A37D62"/>
    <w:rsid w:val="00A51FC9"/>
    <w:rsid w:val="00A54937"/>
    <w:rsid w:val="00A8059A"/>
    <w:rsid w:val="00A96E05"/>
    <w:rsid w:val="00A97D21"/>
    <w:rsid w:val="00AB704F"/>
    <w:rsid w:val="00AD7EF1"/>
    <w:rsid w:val="00AF1713"/>
    <w:rsid w:val="00AF423E"/>
    <w:rsid w:val="00B22458"/>
    <w:rsid w:val="00B2498A"/>
    <w:rsid w:val="00B53407"/>
    <w:rsid w:val="00B575DD"/>
    <w:rsid w:val="00B96D64"/>
    <w:rsid w:val="00C02A04"/>
    <w:rsid w:val="00C50847"/>
    <w:rsid w:val="00C734B8"/>
    <w:rsid w:val="00C85642"/>
    <w:rsid w:val="00C869EC"/>
    <w:rsid w:val="00CC2FE7"/>
    <w:rsid w:val="00CE6C08"/>
    <w:rsid w:val="00D35BC7"/>
    <w:rsid w:val="00D57E39"/>
    <w:rsid w:val="00D85F10"/>
    <w:rsid w:val="00DA2D57"/>
    <w:rsid w:val="00DB78C7"/>
    <w:rsid w:val="00DB7A65"/>
    <w:rsid w:val="00DC0F2E"/>
    <w:rsid w:val="00DC2EB3"/>
    <w:rsid w:val="00DD7184"/>
    <w:rsid w:val="00E4221F"/>
    <w:rsid w:val="00E677DD"/>
    <w:rsid w:val="00EA26C4"/>
    <w:rsid w:val="00EA7F17"/>
    <w:rsid w:val="00EC3A27"/>
    <w:rsid w:val="00EE7E64"/>
    <w:rsid w:val="00F01AB6"/>
    <w:rsid w:val="00F052B1"/>
    <w:rsid w:val="00F24ED1"/>
    <w:rsid w:val="00F85195"/>
    <w:rsid w:val="01484FA4"/>
    <w:rsid w:val="01BB7564"/>
    <w:rsid w:val="22014F16"/>
    <w:rsid w:val="26DA3479"/>
    <w:rsid w:val="3C4562A2"/>
    <w:rsid w:val="3F076B58"/>
    <w:rsid w:val="430C715F"/>
    <w:rsid w:val="59867E20"/>
    <w:rsid w:val="5DF54136"/>
    <w:rsid w:val="5F8B3D1C"/>
    <w:rsid w:val="67015352"/>
    <w:rsid w:val="6E841DDA"/>
    <w:rsid w:val="756C0D83"/>
    <w:rsid w:val="7D9E3E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9"/>
    <w:qFormat/>
    <w:uiPriority w:val="0"/>
    <w:pPr>
      <w:spacing w:after="120"/>
      <w:ind w:left="420" w:leftChars="200"/>
    </w:pPr>
    <w:rPr>
      <w:sz w:val="16"/>
      <w:szCs w:val="16"/>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character" w:customStyle="1" w:styleId="9">
    <w:name w:val="正文文本缩进 3 Char"/>
    <w:basedOn w:val="6"/>
    <w:link w:val="4"/>
    <w:qFormat/>
    <w:uiPriority w:val="0"/>
    <w:rPr>
      <w:kern w:val="2"/>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639</Words>
  <Characters>686</Characters>
  <Lines>3</Lines>
  <Paragraphs>1</Paragraphs>
  <TotalTime>0</TotalTime>
  <ScaleCrop>false</ScaleCrop>
  <LinksUpToDate>false</LinksUpToDate>
  <CharactersWithSpaces>698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2022-05-24T02:20:00Z</dcterms:created>
  <dc:creator>Administrator</dc:creator>
  <cp:lastModifiedBy>lenovo</cp:lastModifiedBy>
  <dcterms:modified xsi:type="dcterms:W3CDTF">2025-06-10T03:05:06Z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EB39604F5C034FBE89BD94FCD6B36FF2_13</vt:lpwstr>
  </property>
  <property fmtid="{D5CDD505-2E9C-101B-9397-08002B2CF9AE}" pid="4" name="KSOTemplateDocerSaveRecord">
    <vt:lpwstr>eyJoZGlkIjoiNjY2ZDk2ZDEyZjBhMWM0NWYxYzBjMTI5ZTc0MTMyMTIiLCJ1c2VySWQiOiI1MTAyODc3MTQifQ==</vt:lpwstr>
  </property>
</Properties>
</file>