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FF44">
      <w:pPr>
        <w:widowControl w:val="0"/>
        <w:kinsoku/>
        <w:autoSpaceDE/>
        <w:autoSpaceDN/>
        <w:adjustRightInd/>
        <w:snapToGrid w:val="0"/>
        <w:spacing w:line="360" w:lineRule="auto"/>
        <w:jc w:val="center"/>
        <w:textAlignment w:val="auto"/>
        <w:rPr>
          <w:rFonts w:hint="eastAsia" w:ascii="宋体" w:hAnsi="宋体" w:eastAsia="宋体" w:cs="宋体"/>
          <w:b/>
          <w:bCs/>
          <w:snapToGrid/>
          <w:kern w:val="2"/>
          <w:sz w:val="32"/>
          <w:szCs w:val="32"/>
          <w:lang w:eastAsia="zh-CN"/>
        </w:rPr>
      </w:pPr>
      <w:r>
        <w:rPr>
          <w:rFonts w:hint="eastAsia" w:ascii="宋体" w:hAnsi="宋体" w:eastAsia="宋体" w:cs="宋体"/>
          <w:b/>
          <w:bCs/>
          <w:snapToGrid/>
          <w:kern w:val="2"/>
          <w:sz w:val="32"/>
          <w:szCs w:val="32"/>
          <w:lang w:eastAsia="zh-CN"/>
        </w:rPr>
        <w:t>长春市</w:t>
      </w:r>
      <w:r>
        <w:rPr>
          <w:rFonts w:hint="eastAsia" w:ascii="宋体" w:hAnsi="宋体" w:eastAsia="宋体" w:cs="宋体"/>
          <w:b/>
          <w:bCs/>
          <w:snapToGrid/>
          <w:kern w:val="2"/>
          <w:sz w:val="32"/>
          <w:szCs w:val="32"/>
          <w:lang w:eastAsia="zh-CN"/>
        </w:rPr>
        <w:t>塑料菜板产品质量监督抽查实施细则</w:t>
      </w:r>
    </w:p>
    <w:p w14:paraId="3BFCCB22">
      <w:pPr>
        <w:widowControl w:val="0"/>
        <w:kinsoku/>
        <w:autoSpaceDE/>
        <w:autoSpaceDN/>
        <w:adjustRightInd/>
        <w:snapToGrid w:val="0"/>
        <w:spacing w:line="360" w:lineRule="auto"/>
        <w:jc w:val="center"/>
        <w:textAlignment w:val="auto"/>
        <w:rPr>
          <w:rFonts w:hint="eastAsia" w:ascii="宋体" w:hAnsi="宋体" w:eastAsia="宋体" w:cs="宋体"/>
          <w:b/>
          <w:bCs/>
          <w:snapToGrid/>
          <w:kern w:val="2"/>
          <w:sz w:val="32"/>
          <w:szCs w:val="32"/>
          <w:lang w:eastAsia="zh-CN"/>
        </w:rPr>
      </w:pPr>
      <w:r>
        <w:rPr>
          <w:rFonts w:hint="eastAsia" w:ascii="宋体" w:hAnsi="宋体" w:eastAsia="宋体" w:cs="宋体"/>
          <w:b/>
          <w:bCs/>
          <w:snapToGrid/>
          <w:kern w:val="2"/>
          <w:sz w:val="32"/>
          <w:szCs w:val="32"/>
          <w:lang w:eastAsia="zh-CN"/>
        </w:rPr>
        <w:t>（202</w:t>
      </w:r>
      <w:r>
        <w:rPr>
          <w:rFonts w:hint="eastAsia" w:ascii="宋体" w:hAnsi="宋体" w:eastAsia="宋体" w:cs="宋体"/>
          <w:b/>
          <w:bCs/>
          <w:snapToGrid/>
          <w:kern w:val="2"/>
          <w:sz w:val="32"/>
          <w:szCs w:val="32"/>
          <w:lang w:val="en-US" w:eastAsia="zh-CN"/>
        </w:rPr>
        <w:t>5</w:t>
      </w:r>
      <w:r>
        <w:rPr>
          <w:rFonts w:hint="eastAsia" w:ascii="宋体" w:hAnsi="宋体" w:eastAsia="宋体" w:cs="宋体"/>
          <w:b/>
          <w:bCs/>
          <w:snapToGrid/>
          <w:kern w:val="2"/>
          <w:sz w:val="32"/>
          <w:szCs w:val="32"/>
          <w:lang w:eastAsia="zh-CN"/>
        </w:rPr>
        <w:t xml:space="preserve"> </w:t>
      </w:r>
      <w:r>
        <w:rPr>
          <w:rFonts w:hint="eastAsia" w:ascii="宋体" w:hAnsi="宋体" w:eastAsia="宋体" w:cs="宋体"/>
          <w:b/>
          <w:bCs/>
          <w:snapToGrid/>
          <w:kern w:val="2"/>
          <w:sz w:val="32"/>
          <w:szCs w:val="32"/>
          <w:lang w:eastAsia="zh-CN"/>
        </w:rPr>
        <w:t>年版）</w:t>
      </w:r>
    </w:p>
    <w:p w14:paraId="633EDD24">
      <w:pPr>
        <w:spacing w:line="310" w:lineRule="auto"/>
        <w:rPr>
          <w:rFonts w:ascii="Arial"/>
          <w:sz w:val="21"/>
        </w:rPr>
      </w:pPr>
    </w:p>
    <w:p w14:paraId="039D259D">
      <w:pPr>
        <w:widowControl w:val="0"/>
        <w:kinsoku/>
        <w:autoSpaceDE/>
        <w:autoSpaceDN/>
        <w:adjustRightInd/>
        <w:snapToGrid w:val="0"/>
        <w:spacing w:line="440" w:lineRule="exact"/>
        <w:ind w:firstLine="452" w:firstLineChars="200"/>
        <w:jc w:val="both"/>
        <w:textAlignment w:val="auto"/>
        <w:rPr>
          <w:rFonts w:ascii="Times New Roman" w:hAnsi="Times New Roman" w:eastAsia="宋体" w:cs="Times New Roman"/>
          <w:snapToGrid/>
          <w:kern w:val="2"/>
          <w:szCs w:val="21"/>
          <w:lang w:eastAsia="zh-CN"/>
        </w:rPr>
      </w:pPr>
      <w:r>
        <w:rPr>
          <w:rFonts w:ascii="黑体" w:hAnsi="黑体" w:eastAsia="黑体" w:cs="黑体"/>
          <w:spacing w:val="-7"/>
          <w:sz w:val="24"/>
          <w:szCs w:val="24"/>
        </w:rPr>
        <w:t>1</w:t>
      </w:r>
      <w:r>
        <w:rPr>
          <w:rFonts w:ascii="Times New Roman" w:hAnsi="Times New Roman" w:eastAsia="宋体" w:cs="Times New Roman"/>
          <w:snapToGrid/>
          <w:kern w:val="2"/>
          <w:szCs w:val="21"/>
          <w:lang w:eastAsia="zh-CN"/>
        </w:rPr>
        <w:t xml:space="preserve"> 抽样方法</w:t>
      </w:r>
    </w:p>
    <w:p w14:paraId="7DFA260D">
      <w:pPr>
        <w:widowControl w:val="0"/>
        <w:kinsoku/>
        <w:autoSpaceDE/>
        <w:autoSpaceDN/>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以随机抽样的方式在被抽样生产者、销售者的待销产品中抽取。</w:t>
      </w:r>
    </w:p>
    <w:p w14:paraId="6AE43FE6">
      <w:pPr>
        <w:widowControl w:val="0"/>
        <w:kinsoku/>
        <w:autoSpaceDE/>
        <w:autoSpaceDN/>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 xml:space="preserve"> 随机数一般可使用随机数表等方法产生。</w:t>
      </w:r>
    </w:p>
    <w:p w14:paraId="0B0D299B">
      <w:pPr>
        <w:widowControl w:val="0"/>
        <w:kinsoku/>
        <w:autoSpaceDE/>
        <w:autoSpaceDN/>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每批次抽取的样品数量为 6 块，4 块为检验样品，2 块为备用样品。</w:t>
      </w:r>
    </w:p>
    <w:p w14:paraId="63E5CEAD">
      <w:pPr>
        <w:spacing w:line="241" w:lineRule="auto"/>
        <w:rPr>
          <w:rFonts w:ascii="Arial"/>
          <w:sz w:val="21"/>
        </w:rPr>
      </w:pPr>
    </w:p>
    <w:p w14:paraId="5C297BC9">
      <w:pPr>
        <w:spacing w:before="78" w:line="222" w:lineRule="auto"/>
        <w:ind w:left="21"/>
        <w:rPr>
          <w:rFonts w:ascii="黑体" w:hAnsi="黑体" w:eastAsia="黑体" w:cs="黑体"/>
          <w:sz w:val="24"/>
          <w:szCs w:val="24"/>
        </w:rPr>
      </w:pPr>
      <w:r>
        <w:rPr>
          <w:rFonts w:ascii="黑体" w:hAnsi="黑体" w:eastAsia="黑体" w:cs="黑体"/>
          <w:spacing w:val="-2"/>
          <w:sz w:val="24"/>
          <w:szCs w:val="24"/>
        </w:rPr>
        <w:t>2 检验依据</w:t>
      </w:r>
    </w:p>
    <w:p w14:paraId="03E6E838">
      <w:pPr>
        <w:spacing w:line="143" w:lineRule="exact"/>
      </w:pPr>
    </w:p>
    <w:tbl>
      <w:tblPr>
        <w:tblStyle w:val="5"/>
        <w:tblW w:w="7724" w:type="dxa"/>
        <w:tblInd w:w="38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84"/>
        <w:gridCol w:w="2839"/>
        <w:gridCol w:w="3001"/>
      </w:tblGrid>
      <w:tr w14:paraId="0CA069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1884" w:type="dxa"/>
            <w:vAlign w:val="top"/>
          </w:tcPr>
          <w:p w14:paraId="48AC4115">
            <w:pPr>
              <w:pStyle w:val="6"/>
              <w:spacing w:before="154" w:line="229" w:lineRule="auto"/>
              <w:ind w:left="737"/>
              <w:rPr>
                <w:sz w:val="21"/>
                <w:szCs w:val="21"/>
              </w:rPr>
            </w:pPr>
            <w:r>
              <w:rPr>
                <w:spacing w:val="5"/>
                <w:sz w:val="21"/>
                <w:szCs w:val="21"/>
              </w:rPr>
              <w:t>序号</w:t>
            </w:r>
          </w:p>
        </w:tc>
        <w:tc>
          <w:tcPr>
            <w:tcW w:w="2839" w:type="dxa"/>
            <w:vAlign w:val="top"/>
          </w:tcPr>
          <w:p w14:paraId="7F3CD503">
            <w:pPr>
              <w:pStyle w:val="6"/>
              <w:spacing w:before="154" w:line="228" w:lineRule="auto"/>
              <w:ind w:left="1004"/>
              <w:rPr>
                <w:sz w:val="21"/>
                <w:szCs w:val="21"/>
              </w:rPr>
            </w:pPr>
            <w:r>
              <w:rPr>
                <w:spacing w:val="7"/>
                <w:sz w:val="21"/>
                <w:szCs w:val="21"/>
              </w:rPr>
              <w:t>检验项目</w:t>
            </w:r>
          </w:p>
        </w:tc>
        <w:tc>
          <w:tcPr>
            <w:tcW w:w="3001" w:type="dxa"/>
            <w:vAlign w:val="top"/>
          </w:tcPr>
          <w:p w14:paraId="22E683A3">
            <w:pPr>
              <w:pStyle w:val="6"/>
              <w:spacing w:before="154" w:line="228" w:lineRule="auto"/>
              <w:ind w:left="1007"/>
              <w:rPr>
                <w:sz w:val="21"/>
                <w:szCs w:val="21"/>
              </w:rPr>
            </w:pPr>
            <w:r>
              <w:rPr>
                <w:spacing w:val="7"/>
                <w:sz w:val="21"/>
                <w:szCs w:val="21"/>
              </w:rPr>
              <w:t>检验方法</w:t>
            </w:r>
          </w:p>
        </w:tc>
      </w:tr>
      <w:tr w14:paraId="226B23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1884" w:type="dxa"/>
            <w:vAlign w:val="top"/>
          </w:tcPr>
          <w:p w14:paraId="1AD28A16">
            <w:pPr>
              <w:pStyle w:val="6"/>
              <w:spacing w:before="183" w:line="189" w:lineRule="auto"/>
              <w:ind w:left="912"/>
              <w:rPr>
                <w:sz w:val="21"/>
                <w:szCs w:val="21"/>
              </w:rPr>
            </w:pPr>
            <w:r>
              <w:rPr>
                <w:sz w:val="21"/>
                <w:szCs w:val="21"/>
              </w:rPr>
              <w:t>1</w:t>
            </w:r>
          </w:p>
        </w:tc>
        <w:tc>
          <w:tcPr>
            <w:tcW w:w="2839" w:type="dxa"/>
            <w:vAlign w:val="top"/>
          </w:tcPr>
          <w:p w14:paraId="012D776B">
            <w:pPr>
              <w:pStyle w:val="6"/>
              <w:spacing w:before="151" w:line="229" w:lineRule="auto"/>
              <w:ind w:left="1005"/>
              <w:rPr>
                <w:sz w:val="21"/>
                <w:szCs w:val="21"/>
              </w:rPr>
            </w:pPr>
            <w:r>
              <w:rPr>
                <w:spacing w:val="7"/>
                <w:sz w:val="21"/>
                <w:szCs w:val="21"/>
              </w:rPr>
              <w:t>感官要求</w:t>
            </w:r>
          </w:p>
        </w:tc>
        <w:tc>
          <w:tcPr>
            <w:tcW w:w="3001" w:type="dxa"/>
            <w:vAlign w:val="top"/>
          </w:tcPr>
          <w:p w14:paraId="6803E050">
            <w:pPr>
              <w:spacing w:before="63" w:line="218" w:lineRule="auto"/>
              <w:ind w:left="679" w:right="67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w:t>
            </w:r>
            <w:r>
              <w:rPr>
                <w:rFonts w:hint="eastAsia" w:asciiTheme="minorEastAsia" w:hAnsiTheme="minorEastAsia" w:eastAsiaTheme="minorEastAsia" w:cstheme="minorEastAsia"/>
                <w:spacing w:val="4"/>
                <w:sz w:val="21"/>
                <w:szCs w:val="21"/>
              </w:rPr>
              <w:t xml:space="preserve"> 4806.7—2016</w:t>
            </w:r>
            <w:r>
              <w:rPr>
                <w:rFonts w:hint="eastAsia" w:asciiTheme="minorEastAsia" w:hAnsiTheme="minorEastAsia" w:eastAsiaTheme="minorEastAsia" w:cstheme="minorEastAsia"/>
                <w:spacing w:val="10"/>
                <w:sz w:val="21"/>
                <w:szCs w:val="21"/>
              </w:rPr>
              <w:t xml:space="preserve"> </w:t>
            </w:r>
            <w:r>
              <w:rPr>
                <w:rFonts w:hint="eastAsia" w:asciiTheme="minorEastAsia" w:hAnsiTheme="minorEastAsia" w:eastAsiaTheme="minorEastAsia" w:cstheme="minorEastAsia"/>
                <w:sz w:val="21"/>
                <w:szCs w:val="21"/>
              </w:rPr>
              <w:t>GB</w:t>
            </w:r>
            <w:r>
              <w:rPr>
                <w:rFonts w:hint="eastAsia" w:asciiTheme="minorEastAsia" w:hAnsiTheme="minorEastAsia" w:eastAsiaTheme="minorEastAsia" w:cstheme="minorEastAsia"/>
                <w:spacing w:val="4"/>
                <w:sz w:val="21"/>
                <w:szCs w:val="21"/>
              </w:rPr>
              <w:t xml:space="preserve"> 4806.7—2023</w:t>
            </w:r>
          </w:p>
        </w:tc>
      </w:tr>
      <w:tr w14:paraId="2FDE1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884" w:type="dxa"/>
            <w:vAlign w:val="top"/>
          </w:tcPr>
          <w:p w14:paraId="532E2DE3">
            <w:pPr>
              <w:pStyle w:val="6"/>
              <w:spacing w:before="182" w:line="189" w:lineRule="auto"/>
              <w:ind w:left="899"/>
              <w:rPr>
                <w:sz w:val="21"/>
                <w:szCs w:val="21"/>
              </w:rPr>
            </w:pPr>
            <w:r>
              <w:rPr>
                <w:sz w:val="21"/>
                <w:szCs w:val="21"/>
              </w:rPr>
              <w:t>2</w:t>
            </w:r>
          </w:p>
        </w:tc>
        <w:tc>
          <w:tcPr>
            <w:tcW w:w="2839" w:type="dxa"/>
            <w:vAlign w:val="top"/>
          </w:tcPr>
          <w:p w14:paraId="35093B57">
            <w:pPr>
              <w:pStyle w:val="6"/>
              <w:spacing w:before="150" w:line="229" w:lineRule="auto"/>
              <w:ind w:left="1010"/>
              <w:rPr>
                <w:sz w:val="21"/>
                <w:szCs w:val="21"/>
              </w:rPr>
            </w:pPr>
            <w:r>
              <w:rPr>
                <w:spacing w:val="5"/>
                <w:sz w:val="21"/>
                <w:szCs w:val="21"/>
              </w:rPr>
              <w:t>总迁移量</w:t>
            </w:r>
          </w:p>
        </w:tc>
        <w:tc>
          <w:tcPr>
            <w:tcW w:w="3001" w:type="dxa"/>
            <w:vAlign w:val="top"/>
          </w:tcPr>
          <w:p w14:paraId="2B06E2EF">
            <w:pPr>
              <w:pStyle w:val="6"/>
              <w:spacing w:before="182" w:line="189" w:lineRule="auto"/>
              <w:ind w:left="637"/>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w:t>
            </w:r>
            <w:r>
              <w:rPr>
                <w:rFonts w:hint="eastAsia" w:asciiTheme="minorEastAsia" w:hAnsiTheme="minorEastAsia" w:eastAsiaTheme="minorEastAsia" w:cstheme="minorEastAsia"/>
                <w:spacing w:val="5"/>
                <w:sz w:val="21"/>
                <w:szCs w:val="21"/>
              </w:rPr>
              <w:t xml:space="preserve"> 31604.8-2021</w:t>
            </w:r>
          </w:p>
        </w:tc>
      </w:tr>
      <w:tr w14:paraId="1DD2EA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884" w:type="dxa"/>
            <w:vAlign w:val="top"/>
          </w:tcPr>
          <w:p w14:paraId="1600C571">
            <w:pPr>
              <w:pStyle w:val="6"/>
              <w:spacing w:before="184" w:line="189" w:lineRule="auto"/>
              <w:ind w:left="901"/>
              <w:rPr>
                <w:sz w:val="21"/>
                <w:szCs w:val="21"/>
              </w:rPr>
            </w:pPr>
            <w:r>
              <w:rPr>
                <w:sz w:val="21"/>
                <w:szCs w:val="21"/>
              </w:rPr>
              <w:t>3</w:t>
            </w:r>
          </w:p>
        </w:tc>
        <w:tc>
          <w:tcPr>
            <w:tcW w:w="2839" w:type="dxa"/>
            <w:vAlign w:val="top"/>
          </w:tcPr>
          <w:p w14:paraId="51161540">
            <w:pPr>
              <w:pStyle w:val="6"/>
              <w:spacing w:before="151" w:line="228" w:lineRule="auto"/>
              <w:ind w:left="696"/>
              <w:rPr>
                <w:sz w:val="21"/>
                <w:szCs w:val="21"/>
              </w:rPr>
            </w:pPr>
            <w:r>
              <w:rPr>
                <w:spacing w:val="7"/>
                <w:sz w:val="21"/>
                <w:szCs w:val="21"/>
              </w:rPr>
              <w:t>高锰酸钾消耗量</w:t>
            </w:r>
          </w:p>
        </w:tc>
        <w:tc>
          <w:tcPr>
            <w:tcW w:w="3001" w:type="dxa"/>
            <w:vAlign w:val="top"/>
          </w:tcPr>
          <w:p w14:paraId="6CA64F37">
            <w:pPr>
              <w:pStyle w:val="6"/>
              <w:spacing w:before="183" w:line="189" w:lineRule="auto"/>
              <w:ind w:left="637"/>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w:t>
            </w:r>
            <w:r>
              <w:rPr>
                <w:rFonts w:hint="eastAsia" w:asciiTheme="minorEastAsia" w:hAnsiTheme="minorEastAsia" w:eastAsiaTheme="minorEastAsia" w:cstheme="minorEastAsia"/>
                <w:spacing w:val="5"/>
                <w:sz w:val="21"/>
                <w:szCs w:val="21"/>
              </w:rPr>
              <w:t xml:space="preserve"> 31604.2-2016</w:t>
            </w:r>
          </w:p>
        </w:tc>
      </w:tr>
      <w:tr w14:paraId="4D0DF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1884" w:type="dxa"/>
            <w:vAlign w:val="top"/>
          </w:tcPr>
          <w:p w14:paraId="19385F6F">
            <w:pPr>
              <w:pStyle w:val="6"/>
              <w:spacing w:before="183" w:line="189" w:lineRule="auto"/>
              <w:ind w:left="896"/>
              <w:rPr>
                <w:sz w:val="21"/>
                <w:szCs w:val="21"/>
              </w:rPr>
            </w:pPr>
            <w:r>
              <w:rPr>
                <w:sz w:val="21"/>
                <w:szCs w:val="21"/>
              </w:rPr>
              <w:t>4</w:t>
            </w:r>
          </w:p>
        </w:tc>
        <w:tc>
          <w:tcPr>
            <w:tcW w:w="2839" w:type="dxa"/>
            <w:vAlign w:val="top"/>
          </w:tcPr>
          <w:p w14:paraId="25B4FE08">
            <w:pPr>
              <w:pStyle w:val="6"/>
              <w:spacing w:before="151" w:line="229" w:lineRule="auto"/>
              <w:ind w:left="532"/>
              <w:rPr>
                <w:sz w:val="21"/>
                <w:szCs w:val="21"/>
              </w:rPr>
            </w:pPr>
            <w:r>
              <w:rPr>
                <w:spacing w:val="14"/>
                <w:sz w:val="21"/>
                <w:szCs w:val="21"/>
              </w:rPr>
              <w:t>重金属（以</w:t>
            </w:r>
            <w:r>
              <w:rPr>
                <w:sz w:val="21"/>
                <w:szCs w:val="21"/>
              </w:rPr>
              <w:t>Pb</w:t>
            </w:r>
            <w:r>
              <w:rPr>
                <w:spacing w:val="-34"/>
                <w:sz w:val="21"/>
                <w:szCs w:val="21"/>
              </w:rPr>
              <w:t xml:space="preserve"> </w:t>
            </w:r>
            <w:r>
              <w:rPr>
                <w:spacing w:val="14"/>
                <w:sz w:val="21"/>
                <w:szCs w:val="21"/>
              </w:rPr>
              <w:t>计）</w:t>
            </w:r>
          </w:p>
        </w:tc>
        <w:tc>
          <w:tcPr>
            <w:tcW w:w="3001" w:type="dxa"/>
            <w:vAlign w:val="top"/>
          </w:tcPr>
          <w:p w14:paraId="0E9DC998">
            <w:pPr>
              <w:pStyle w:val="6"/>
              <w:spacing w:before="183" w:line="189" w:lineRule="auto"/>
              <w:ind w:left="637"/>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w:t>
            </w:r>
            <w:r>
              <w:rPr>
                <w:rFonts w:hint="eastAsia" w:asciiTheme="minorEastAsia" w:hAnsiTheme="minorEastAsia" w:eastAsiaTheme="minorEastAsia" w:cstheme="minorEastAsia"/>
                <w:spacing w:val="5"/>
                <w:sz w:val="21"/>
                <w:szCs w:val="21"/>
              </w:rPr>
              <w:t xml:space="preserve"> 31604.9-2016</w:t>
            </w:r>
          </w:p>
        </w:tc>
      </w:tr>
      <w:tr w14:paraId="23EC8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884" w:type="dxa"/>
            <w:vAlign w:val="top"/>
          </w:tcPr>
          <w:p w14:paraId="5541935D">
            <w:pPr>
              <w:pStyle w:val="6"/>
              <w:spacing w:before="188" w:line="187" w:lineRule="auto"/>
              <w:ind w:left="901"/>
              <w:rPr>
                <w:sz w:val="21"/>
                <w:szCs w:val="21"/>
              </w:rPr>
            </w:pPr>
            <w:r>
              <w:rPr>
                <w:sz w:val="21"/>
                <w:szCs w:val="21"/>
              </w:rPr>
              <w:t>5</w:t>
            </w:r>
          </w:p>
        </w:tc>
        <w:tc>
          <w:tcPr>
            <w:tcW w:w="2839" w:type="dxa"/>
            <w:vAlign w:val="top"/>
          </w:tcPr>
          <w:p w14:paraId="1F4206D1">
            <w:pPr>
              <w:pStyle w:val="6"/>
              <w:spacing w:before="152" w:line="227" w:lineRule="auto"/>
              <w:ind w:left="484"/>
              <w:rPr>
                <w:sz w:val="21"/>
                <w:szCs w:val="21"/>
              </w:rPr>
            </w:pPr>
            <w:r>
              <w:rPr>
                <w:spacing w:val="8"/>
                <w:sz w:val="21"/>
                <w:szCs w:val="21"/>
              </w:rPr>
              <w:t>芳香族伯胺迁移总量</w:t>
            </w:r>
          </w:p>
        </w:tc>
        <w:tc>
          <w:tcPr>
            <w:tcW w:w="3001" w:type="dxa"/>
            <w:vAlign w:val="top"/>
          </w:tcPr>
          <w:p w14:paraId="0F0F66A4">
            <w:pPr>
              <w:spacing w:before="194" w:line="186" w:lineRule="auto"/>
              <w:ind w:left="57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w:t>
            </w:r>
            <w:r>
              <w:rPr>
                <w:rFonts w:hint="eastAsia" w:asciiTheme="minorEastAsia" w:hAnsiTheme="minorEastAsia" w:eastAsiaTheme="minorEastAsia" w:cstheme="minorEastAsia"/>
                <w:spacing w:val="5"/>
                <w:sz w:val="21"/>
                <w:szCs w:val="21"/>
              </w:rPr>
              <w:t xml:space="preserve"> 31604.52—2021</w:t>
            </w:r>
          </w:p>
        </w:tc>
      </w:tr>
      <w:tr w14:paraId="05F2C8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884" w:type="dxa"/>
            <w:vAlign w:val="top"/>
          </w:tcPr>
          <w:p w14:paraId="4A09BF55">
            <w:pPr>
              <w:pStyle w:val="6"/>
              <w:spacing w:before="186" w:line="189" w:lineRule="auto"/>
              <w:ind w:left="898"/>
              <w:rPr>
                <w:sz w:val="21"/>
                <w:szCs w:val="21"/>
              </w:rPr>
            </w:pPr>
            <w:r>
              <w:rPr>
                <w:sz w:val="21"/>
                <w:szCs w:val="21"/>
              </w:rPr>
              <w:t>6</w:t>
            </w:r>
          </w:p>
        </w:tc>
        <w:tc>
          <w:tcPr>
            <w:tcW w:w="2839" w:type="dxa"/>
            <w:vAlign w:val="top"/>
          </w:tcPr>
          <w:p w14:paraId="458EE0EC">
            <w:pPr>
              <w:pStyle w:val="6"/>
              <w:spacing w:before="153" w:line="229" w:lineRule="auto"/>
              <w:ind w:left="1005"/>
              <w:rPr>
                <w:sz w:val="21"/>
                <w:szCs w:val="21"/>
              </w:rPr>
            </w:pPr>
            <w:r>
              <w:rPr>
                <w:spacing w:val="7"/>
                <w:sz w:val="21"/>
                <w:szCs w:val="21"/>
              </w:rPr>
              <w:t>脱色试验</w:t>
            </w:r>
          </w:p>
        </w:tc>
        <w:tc>
          <w:tcPr>
            <w:tcW w:w="3001" w:type="dxa"/>
            <w:vAlign w:val="top"/>
          </w:tcPr>
          <w:p w14:paraId="266326D0">
            <w:pPr>
              <w:spacing w:before="195" w:line="186" w:lineRule="auto"/>
              <w:ind w:left="62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GB</w:t>
            </w:r>
            <w:r>
              <w:rPr>
                <w:rFonts w:hint="eastAsia" w:asciiTheme="minorEastAsia" w:hAnsiTheme="minorEastAsia" w:eastAsiaTheme="minorEastAsia" w:cstheme="minorEastAsia"/>
                <w:spacing w:val="4"/>
                <w:sz w:val="21"/>
                <w:szCs w:val="21"/>
              </w:rPr>
              <w:t xml:space="preserve"> 31604.7—2023</w:t>
            </w:r>
          </w:p>
        </w:tc>
      </w:tr>
      <w:tr w14:paraId="7CF8A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0" w:hRule="atLeast"/>
        </w:trPr>
        <w:tc>
          <w:tcPr>
            <w:tcW w:w="7724" w:type="dxa"/>
            <w:gridSpan w:val="3"/>
            <w:vAlign w:val="top"/>
          </w:tcPr>
          <w:p w14:paraId="1AEBE1B6">
            <w:pPr>
              <w:pStyle w:val="6"/>
              <w:spacing w:before="34"/>
              <w:ind w:left="133" w:right="108" w:hanging="17"/>
              <w:rPr>
                <w:sz w:val="21"/>
                <w:szCs w:val="21"/>
              </w:rPr>
            </w:pPr>
            <w:r>
              <w:rPr>
                <w:spacing w:val="6"/>
                <w:sz w:val="21"/>
                <w:szCs w:val="21"/>
              </w:rPr>
              <w:t>注：</w:t>
            </w:r>
            <w:r>
              <w:rPr>
                <w:rFonts w:ascii="Calibri" w:hAnsi="Calibri" w:eastAsia="Calibri" w:cs="Calibri"/>
                <w:spacing w:val="6"/>
                <w:sz w:val="21"/>
                <w:szCs w:val="21"/>
              </w:rPr>
              <w:t>1.</w:t>
            </w:r>
            <w:r>
              <w:rPr>
                <w:spacing w:val="6"/>
                <w:sz w:val="21"/>
                <w:szCs w:val="21"/>
              </w:rPr>
              <w:t>高锰酸钾消耗量不适用于执行标准为</w:t>
            </w:r>
            <w:r>
              <w:rPr>
                <w:spacing w:val="-22"/>
                <w:sz w:val="21"/>
                <w:szCs w:val="21"/>
              </w:rPr>
              <w:t xml:space="preserve"> </w:t>
            </w:r>
            <w:r>
              <w:rPr>
                <w:rFonts w:ascii="Calibri" w:hAnsi="Calibri" w:eastAsia="Calibri" w:cs="Calibri"/>
                <w:sz w:val="21"/>
                <w:szCs w:val="21"/>
              </w:rPr>
              <w:t>GB</w:t>
            </w:r>
            <w:r>
              <w:rPr>
                <w:rFonts w:ascii="Calibri" w:hAnsi="Calibri" w:eastAsia="Calibri" w:cs="Calibri"/>
                <w:spacing w:val="6"/>
                <w:sz w:val="21"/>
                <w:szCs w:val="21"/>
              </w:rPr>
              <w:t xml:space="preserve"> 4806.7—2023</w:t>
            </w:r>
            <w:r>
              <w:rPr>
                <w:rFonts w:ascii="Calibri" w:hAnsi="Calibri" w:eastAsia="Calibri" w:cs="Calibri"/>
                <w:spacing w:val="38"/>
                <w:w w:val="101"/>
                <w:sz w:val="21"/>
                <w:szCs w:val="21"/>
              </w:rPr>
              <w:t xml:space="preserve"> </w:t>
            </w:r>
            <w:r>
              <w:rPr>
                <w:spacing w:val="6"/>
                <w:sz w:val="21"/>
                <w:szCs w:val="21"/>
              </w:rPr>
              <w:t>中的淀粉含量≥</w:t>
            </w:r>
            <w:r>
              <w:rPr>
                <w:rFonts w:ascii="Calibri" w:hAnsi="Calibri" w:eastAsia="Calibri" w:cs="Calibri"/>
                <w:spacing w:val="6"/>
                <w:sz w:val="21"/>
                <w:szCs w:val="21"/>
              </w:rPr>
              <w:t>40%</w:t>
            </w:r>
            <w:r>
              <w:rPr>
                <w:rFonts w:ascii="Calibri" w:hAnsi="Calibri" w:eastAsia="Calibri" w:cs="Calibri"/>
                <w:sz w:val="21"/>
                <w:szCs w:val="21"/>
              </w:rPr>
              <w:t xml:space="preserve"> </w:t>
            </w:r>
            <w:r>
              <w:rPr>
                <w:spacing w:val="6"/>
                <w:sz w:val="21"/>
                <w:szCs w:val="21"/>
              </w:rPr>
              <w:t>的淀粉基塑料材料及制品。</w:t>
            </w:r>
          </w:p>
          <w:p w14:paraId="2EE51DF4">
            <w:pPr>
              <w:pStyle w:val="6"/>
              <w:spacing w:before="24"/>
              <w:ind w:left="119" w:right="109" w:firstLine="421"/>
              <w:rPr>
                <w:sz w:val="21"/>
                <w:szCs w:val="21"/>
              </w:rPr>
            </w:pPr>
            <w:r>
              <w:rPr>
                <w:rFonts w:ascii="Calibri" w:hAnsi="Calibri" w:eastAsia="Calibri" w:cs="Calibri"/>
                <w:spacing w:val="7"/>
                <w:sz w:val="21"/>
                <w:szCs w:val="21"/>
              </w:rPr>
              <w:t>2.</w:t>
            </w:r>
            <w:r>
              <w:rPr>
                <w:spacing w:val="7"/>
                <w:sz w:val="21"/>
                <w:szCs w:val="21"/>
              </w:rPr>
              <w:t>芳香族伯胺迁移总量仅适用于执行标准为</w:t>
            </w:r>
            <w:r>
              <w:rPr>
                <w:spacing w:val="-38"/>
                <w:sz w:val="21"/>
                <w:szCs w:val="21"/>
              </w:rPr>
              <w:t xml:space="preserve"> </w:t>
            </w:r>
            <w:r>
              <w:rPr>
                <w:rFonts w:ascii="Calibri" w:hAnsi="Calibri" w:eastAsia="Calibri" w:cs="Calibri"/>
                <w:sz w:val="21"/>
                <w:szCs w:val="21"/>
              </w:rPr>
              <w:t>GB</w:t>
            </w:r>
            <w:r>
              <w:rPr>
                <w:rFonts w:ascii="Calibri" w:hAnsi="Calibri" w:eastAsia="Calibri" w:cs="Calibri"/>
                <w:spacing w:val="7"/>
                <w:sz w:val="21"/>
                <w:szCs w:val="21"/>
              </w:rPr>
              <w:t xml:space="preserve"> 4806.7—2023</w:t>
            </w:r>
            <w:r>
              <w:rPr>
                <w:spacing w:val="7"/>
                <w:sz w:val="21"/>
                <w:szCs w:val="21"/>
              </w:rPr>
              <w:t>，且含有芳香族</w:t>
            </w:r>
            <w:r>
              <w:rPr>
                <w:sz w:val="21"/>
                <w:szCs w:val="21"/>
              </w:rPr>
              <w:t xml:space="preserve"> </w:t>
            </w:r>
            <w:r>
              <w:rPr>
                <w:spacing w:val="9"/>
                <w:sz w:val="21"/>
                <w:szCs w:val="21"/>
              </w:rPr>
              <w:t>异氰酸酯和偶氮类着色剂等可能产生芳香族伯胺类物质的产品。</w:t>
            </w:r>
          </w:p>
          <w:p w14:paraId="168A3747">
            <w:pPr>
              <w:pStyle w:val="6"/>
              <w:spacing w:before="24" w:line="218" w:lineRule="auto"/>
              <w:ind w:left="539"/>
              <w:rPr>
                <w:sz w:val="21"/>
                <w:szCs w:val="21"/>
              </w:rPr>
            </w:pPr>
            <w:r>
              <w:rPr>
                <w:rFonts w:ascii="Calibri" w:hAnsi="Calibri" w:eastAsia="Calibri" w:cs="Calibri"/>
                <w:spacing w:val="8"/>
                <w:sz w:val="21"/>
                <w:szCs w:val="21"/>
              </w:rPr>
              <w:t xml:space="preserve">3.  </w:t>
            </w:r>
            <w:r>
              <w:rPr>
                <w:spacing w:val="8"/>
                <w:sz w:val="21"/>
                <w:szCs w:val="21"/>
              </w:rPr>
              <w:t>脱色试验仅适用于添加了着色剂的产品。</w:t>
            </w:r>
          </w:p>
        </w:tc>
      </w:tr>
    </w:tbl>
    <w:p w14:paraId="24ED1EF3">
      <w:pPr>
        <w:pStyle w:val="2"/>
        <w:spacing w:before="31" w:line="228" w:lineRule="auto"/>
        <w:ind w:left="442"/>
        <w:rPr>
          <w:sz w:val="21"/>
          <w:szCs w:val="21"/>
        </w:rPr>
      </w:pPr>
      <w:r>
        <w:rPr>
          <w:spacing w:val="9"/>
          <w:sz w:val="21"/>
          <w:szCs w:val="21"/>
        </w:rPr>
        <w:t>执行企业标准、团体标准、地方标准的产品，检验项目参照上述内容执行。</w:t>
      </w:r>
    </w:p>
    <w:p w14:paraId="35269746">
      <w:pPr>
        <w:pStyle w:val="2"/>
        <w:spacing w:before="161" w:line="362" w:lineRule="auto"/>
        <w:ind w:left="26" w:right="15" w:firstLine="420"/>
      </w:pPr>
      <w:r>
        <w:rPr>
          <w:spacing w:val="7"/>
          <w:sz w:val="21"/>
          <w:szCs w:val="21"/>
        </w:rPr>
        <w:t>凡是注日期的文件，其随后所有的修改单（不包括勘误的</w:t>
      </w:r>
      <w:r>
        <w:rPr>
          <w:spacing w:val="7"/>
        </w:rPr>
        <w:t>内容）或修订版不适用于本细</w:t>
      </w:r>
      <w:r>
        <w:rPr>
          <w:spacing w:val="4"/>
        </w:rPr>
        <w:t xml:space="preserve"> </w:t>
      </w:r>
      <w:r>
        <w:rPr>
          <w:spacing w:val="9"/>
        </w:rPr>
        <w:t>则。凡是不注日期的文件，其最新版本适用于本细则。</w:t>
      </w:r>
    </w:p>
    <w:p w14:paraId="43E348B0">
      <w:pPr>
        <w:spacing w:before="192" w:line="222" w:lineRule="auto"/>
        <w:ind w:left="23"/>
        <w:rPr>
          <w:rFonts w:ascii="黑体" w:hAnsi="黑体" w:eastAsia="黑体" w:cs="黑体"/>
          <w:sz w:val="24"/>
          <w:szCs w:val="24"/>
        </w:rPr>
      </w:pPr>
      <w:r>
        <w:rPr>
          <w:rFonts w:ascii="黑体" w:hAnsi="黑体" w:eastAsia="黑体" w:cs="黑体"/>
          <w:spacing w:val="-2"/>
          <w:sz w:val="24"/>
          <w:szCs w:val="24"/>
        </w:rPr>
        <w:t>3 判定规则</w:t>
      </w:r>
    </w:p>
    <w:p w14:paraId="0B6C6BA2">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3.1 依据标准</w:t>
      </w:r>
    </w:p>
    <w:p w14:paraId="36132BED">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 xml:space="preserve">GB 4806.7-2016 食品安全国家标准 食品接触用塑料材料及制品  </w:t>
      </w:r>
    </w:p>
    <w:p w14:paraId="674EB20D">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 xml:space="preserve"> GB 4806.7-2023 食品安全国家标准 食品接触用塑料材料及制品  </w:t>
      </w:r>
    </w:p>
    <w:p w14:paraId="2B8D096E">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bookmarkStart w:id="0" w:name="_GoBack"/>
      <w:bookmarkEnd w:id="0"/>
      <w:r>
        <w:rPr>
          <w:rFonts w:ascii="Times New Roman" w:hAnsi="Times New Roman" w:eastAsia="宋体" w:cs="Times New Roman"/>
          <w:snapToGrid/>
          <w:kern w:val="2"/>
          <w:szCs w:val="21"/>
          <w:lang w:eastAsia="zh-CN"/>
        </w:rPr>
        <w:t xml:space="preserve"> 现行有效的企业标准、团体标准、地方标准及产品明示质量要求。</w:t>
      </w:r>
    </w:p>
    <w:p w14:paraId="7E2913C1">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3.2 判定原则</w:t>
      </w:r>
    </w:p>
    <w:p w14:paraId="3A9F6E46">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经检验，检验项目全部合格，判定为被抽查产品未发现不合格；检验项目中任一项或一 项以上不合格，判定为被抽查产品不合格。</w:t>
      </w:r>
    </w:p>
    <w:p w14:paraId="6247271C">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若被检产品明示的质量要求高于本细则中检验项目依据的标准要求时，应按被检产品明 示的质量要求判定。</w:t>
      </w:r>
    </w:p>
    <w:p w14:paraId="06AE6E57">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若被检产品明示的质量要求低于本细则中检验项目依据的强制性标准要求时，应按照强</w:t>
      </w:r>
    </w:p>
    <w:p w14:paraId="3AA5B051">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sectPr>
          <w:pgSz w:w="11906" w:h="16839"/>
          <w:pgMar w:top="1424" w:right="1785" w:bottom="0" w:left="1785" w:header="0" w:footer="0" w:gutter="0"/>
          <w:cols w:space="720" w:num="1"/>
        </w:sectPr>
      </w:pPr>
    </w:p>
    <w:p w14:paraId="2C3E7501">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制性标准要求判定。</w:t>
      </w:r>
    </w:p>
    <w:p w14:paraId="24F6ECFD">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若被检产品明示的质量要求低于或包含本细则中检验项目依据的推荐性标准要求时，应 以被检产品明示的质量要求判定。</w:t>
      </w:r>
    </w:p>
    <w:p w14:paraId="575367A1">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若被检产品明示的质量要求缺少本细则中检验项目依据的强制性标准要求时，应按照强 制性标准要求判定。</w:t>
      </w:r>
    </w:p>
    <w:p w14:paraId="60DBE4FF">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若被检产品明示的质量要求缺少本细则中检验项目依据的推荐性标准要求时，该项目不 参与判定。</w:t>
      </w:r>
    </w:p>
    <w:p w14:paraId="2B001F2C">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4 附则</w:t>
      </w:r>
    </w:p>
    <w:p w14:paraId="52545BC8">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ascii="Times New Roman" w:hAnsi="Times New Roman" w:eastAsia="宋体" w:cs="Times New Roman"/>
          <w:snapToGrid/>
          <w:kern w:val="2"/>
          <w:szCs w:val="21"/>
          <w:lang w:eastAsia="zh-CN"/>
        </w:rPr>
      </w:pPr>
      <w:r>
        <w:rPr>
          <w:rFonts w:ascii="Times New Roman" w:hAnsi="Times New Roman" w:eastAsia="宋体" w:cs="Times New Roman"/>
          <w:snapToGrid/>
          <w:kern w:val="2"/>
          <w:szCs w:val="21"/>
          <w:lang w:eastAsia="zh-CN"/>
        </w:rPr>
        <w:t>本细则代替《吉林省市场监督管理厅关于发布吉林省产品质量监督抽查实施细则（2023 版）（第 10 批）的通告》中的《吉林省塑料菜板产品质量监督抽查实施细则（2023 年版）》。</w:t>
      </w:r>
    </w:p>
    <w:sectPr>
      <w:pgSz w:w="11906" w:h="16839"/>
      <w:pgMar w:top="1428" w:right="1731"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5204125"/>
    <w:rsid w:val="21527009"/>
    <w:rsid w:val="37367D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849</Words>
  <Characters>996</Characters>
  <TotalTime>0</TotalTime>
  <ScaleCrop>false</ScaleCrop>
  <LinksUpToDate>false</LinksUpToDate>
  <CharactersWithSpaces>1048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2024-09-02T10:16:00Z</dcterms:created>
  <dc:creator>Administrator</dc:creator>
  <cp:lastModifiedBy>lenovo</cp:lastModifiedBy>
  <dcterms:modified xsi:type="dcterms:W3CDTF">2025-06-10T06:53:56Z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2025-06-10T14:52:52Z</vt:filetime>
  </property>
  <property fmtid="{D5CDD505-2E9C-101B-9397-08002B2CF9AE}" pid="4" name="KSOTemplateDocerSaveRecord">
    <vt:lpwstr>eyJoZGlkIjoiNjY2ZDk2ZDEyZjBhMWM0NWYxYzBjMTI5ZTc0MTMyMTIiLCJ1c2VySWQiOiI1MTAyODc3MTQifQ==</vt:lpwstr>
  </property>
  <property fmtid="{D5CDD505-2E9C-101B-9397-08002B2CF9AE}" pid="5" name="KSOProductBuildVer">
    <vt:lpwstr>2052-12.1.0.20784</vt:lpwstr>
  </property>
  <property fmtid="{D5CDD505-2E9C-101B-9397-08002B2CF9AE}" pid="6" name="ICV">
    <vt:lpwstr>0F8146E91A5B4BDBA0AED2EE3FC7AFE3_12</vt:lpwstr>
  </property>
</Properties>
</file>