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hint="eastAsia" w:ascii="Times New Roman" w:hAnsi="Times New Roman" w:eastAsia="方正小标宋简体" w:cs="Times New Roman"/>
          <w:color w:val="000000"/>
          <w:sz w:val="32"/>
          <w:szCs w:val="32"/>
          <w:lang w:val="en-US" w:eastAsia="zh-CN"/>
        </w:rPr>
      </w:pPr>
    </w:p>
    <w:p>
      <w:pPr>
        <w:adjustRightInd w:val="0"/>
        <w:snapToGrid w:val="0"/>
        <w:spacing w:line="440" w:lineRule="exact"/>
        <w:jc w:val="center"/>
        <w:rPr>
          <w:rFonts w:hint="eastAsia" w:ascii="Times New Roman" w:hAnsi="Times New Roman" w:eastAsia="方正小标宋简体" w:cs="Times New Roman"/>
          <w:color w:val="000000"/>
          <w:sz w:val="32"/>
          <w:szCs w:val="32"/>
          <w:lang w:val="en-US" w:eastAsia="zh-CN"/>
        </w:rPr>
      </w:pPr>
      <w:r>
        <w:rPr>
          <w:rFonts w:hint="eastAsia" w:ascii="Times New Roman" w:hAnsi="Times New Roman" w:eastAsia="方正小标宋简体" w:cs="Times New Roman"/>
          <w:color w:val="000000"/>
          <w:sz w:val="32"/>
          <w:szCs w:val="32"/>
          <w:lang w:val="en-US" w:eastAsia="zh-CN"/>
        </w:rPr>
        <w:t>长春市2025年绝热用模塑聚苯乙烯</w:t>
      </w:r>
    </w:p>
    <w:p>
      <w:pPr>
        <w:adjustRightInd w:val="0"/>
        <w:snapToGrid w:val="0"/>
        <w:spacing w:line="440" w:lineRule="exact"/>
        <w:jc w:val="center"/>
        <w:rPr>
          <w:rFonts w:hint="eastAsia" w:ascii="Times New Roman" w:hAnsi="Times New Roman" w:eastAsia="方正小标宋简体" w:cs="Times New Roman"/>
          <w:color w:val="000000"/>
          <w:sz w:val="32"/>
          <w:szCs w:val="32"/>
          <w:lang w:val="en-US" w:eastAsia="zh-CN"/>
        </w:rPr>
      </w:pPr>
      <w:r>
        <w:rPr>
          <w:rFonts w:hint="eastAsia" w:ascii="Times New Roman" w:hAnsi="Times New Roman" w:eastAsia="方正小标宋简体" w:cs="Times New Roman"/>
          <w:color w:val="000000"/>
          <w:sz w:val="32"/>
          <w:szCs w:val="32"/>
          <w:lang w:val="en-US" w:eastAsia="zh-CN"/>
        </w:rPr>
        <w:t>泡沫塑料（EPS）、绝热用挤塑聚苯乙烯泡沫塑料(XPS)</w:t>
      </w:r>
    </w:p>
    <w:p>
      <w:pPr>
        <w:adjustRightInd w:val="0"/>
        <w:snapToGrid w:val="0"/>
        <w:spacing w:line="440" w:lineRule="exact"/>
        <w:jc w:val="center"/>
        <w:rPr>
          <w:rFonts w:hint="eastAsia" w:ascii="Times New Roman" w:hAnsi="Times New Roman" w:eastAsia="方正小标宋简体" w:cs="Times New Roman"/>
          <w:color w:val="000000"/>
          <w:sz w:val="32"/>
          <w:szCs w:val="32"/>
          <w:lang w:val="en-US" w:eastAsia="zh-CN"/>
        </w:rPr>
      </w:pPr>
      <w:r>
        <w:rPr>
          <w:rFonts w:hint="eastAsia" w:ascii="Times New Roman" w:hAnsi="Times New Roman" w:eastAsia="方正小标宋简体" w:cs="Times New Roman"/>
          <w:color w:val="000000"/>
          <w:sz w:val="32"/>
          <w:szCs w:val="32"/>
          <w:lang w:val="en-US" w:eastAsia="zh-CN"/>
        </w:rPr>
        <w:t>产品质量监督抽查实施细则</w:t>
      </w:r>
    </w:p>
    <w:p>
      <w:pPr>
        <w:widowControl/>
        <w:jc w:val="left"/>
        <w:rPr>
          <w:rFonts w:hint="eastAsia" w:ascii="仿宋" w:hAnsi="仿宋" w:eastAsia="仿宋" w:cs="仿宋"/>
          <w:color w:val="000000"/>
          <w:spacing w:val="-10"/>
          <w:sz w:val="28"/>
          <w:szCs w:val="28"/>
        </w:rPr>
      </w:pPr>
    </w:p>
    <w:p>
      <w:pPr>
        <w:spacing w:line="360" w:lineRule="auto"/>
        <w:outlineLvl w:val="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1 抽样方法</w:t>
      </w:r>
      <w:bookmarkStart w:id="0" w:name="_GoBack"/>
      <w:bookmarkEnd w:id="0"/>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1.1抽样型号或规格</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抽取产品应为同一类别、同一规格的产品，优先抽取主导产品。</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1.2抽样方法、基数及数量</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以随机抽样的方式在被抽样生产者、销售者的待销产品中抽取。随机数一般可使用随机数表等方法产生。</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1.2.1抽取样品</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a.将一整块泡沫塑料作为抽样基数，去掉表皮，在现场进行制样，制成以下规格的检验样品和备用样品：</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检验样品：500mm×500mm×实际厚（≥50mm），40块（或10平方米）。</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备用样品：500mm×500mm×实际厚（≥50mm），40块（或10平方米）。</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b.现场有制好的满足样品要求的样块，以随机抽样的方式抽取以下规格的检验样品和备用样品：</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检验样品：不小于500mm×500mm×50mm，40块（或10平方米）。</w:t>
      </w:r>
    </w:p>
    <w:p>
      <w:pPr>
        <w:spacing w:line="360" w:lineRule="auto"/>
        <w:ind w:firstLine="560" w:firstLineChars="200"/>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备用样品：不小于500mm×500mm×50mm，40块（或10平方米）。</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1.2.2抽样基数满足抽样数量即可。</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1.2.3 抽取样品时，绝热用模塑聚苯乙烯泡沫塑料（EPS）样品自生产日期到抽样日期必须满足陈化期28天的需求，绝热用挤塑聚苯乙烯泡沫塑料(XPS)样品自生产日期到抽样日期必须满足陈化期90天的需求,否则不予抽样。</w:t>
      </w:r>
    </w:p>
    <w:p>
      <w:pPr>
        <w:spacing w:line="360" w:lineRule="auto"/>
        <w:outlineLvl w:val="0"/>
        <w:rPr>
          <w:rFonts w:hint="eastAsia" w:ascii="CESI仿宋-GB2312" w:hAnsi="CESI仿宋-GB2312" w:eastAsia="CESI仿宋-GB2312" w:cs="CESI仿宋-GB2312"/>
          <w:b/>
          <w:bCs/>
          <w:sz w:val="28"/>
          <w:szCs w:val="28"/>
          <w:lang w:eastAsia="zh-CN"/>
        </w:rPr>
      </w:pPr>
      <w:r>
        <w:rPr>
          <w:rFonts w:hint="eastAsia" w:ascii="CESI仿宋-GB2312" w:hAnsi="CESI仿宋-GB2312" w:eastAsia="CESI仿宋-GB2312" w:cs="CESI仿宋-GB2312"/>
          <w:b/>
          <w:bCs/>
          <w:sz w:val="28"/>
          <w:szCs w:val="28"/>
        </w:rPr>
        <w:t>2 检验</w:t>
      </w:r>
      <w:r>
        <w:rPr>
          <w:rFonts w:hint="eastAsia" w:ascii="CESI仿宋-GB2312" w:hAnsi="CESI仿宋-GB2312" w:eastAsia="CESI仿宋-GB2312" w:cs="CESI仿宋-GB2312"/>
          <w:b/>
          <w:bCs/>
          <w:sz w:val="28"/>
          <w:szCs w:val="28"/>
          <w:lang w:eastAsia="zh-CN"/>
        </w:rPr>
        <w:t>依据</w:t>
      </w:r>
    </w:p>
    <w:p>
      <w:pPr>
        <w:widowControl/>
        <w:jc w:val="left"/>
        <w:rPr>
          <w:rFonts w:hint="eastAsia" w:ascii="仿宋" w:hAnsi="仿宋" w:eastAsia="仿宋" w:cs="仿宋"/>
          <w:color w:val="000000"/>
          <w:spacing w:val="-10"/>
          <w:sz w:val="28"/>
          <w:szCs w:val="28"/>
        </w:rPr>
      </w:pPr>
    </w:p>
    <w:p>
      <w:pPr>
        <w:spacing w:line="360" w:lineRule="auto"/>
        <w:ind w:firstLine="560" w:firstLineChars="200"/>
        <w:jc w:val="center"/>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表1 绝热用模塑聚苯乙烯泡沫塑料（EPS）检验项目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3101"/>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序号</w:t>
            </w:r>
          </w:p>
        </w:tc>
        <w:tc>
          <w:tcPr>
            <w:tcW w:w="3101"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检验项目</w:t>
            </w:r>
          </w:p>
        </w:tc>
        <w:tc>
          <w:tcPr>
            <w:tcW w:w="3738"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1</w:t>
            </w:r>
          </w:p>
        </w:tc>
        <w:tc>
          <w:tcPr>
            <w:tcW w:w="31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表观密度偏差</w:t>
            </w:r>
          </w:p>
        </w:tc>
        <w:tc>
          <w:tcPr>
            <w:tcW w:w="3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GB/T 6343-2009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2</w:t>
            </w:r>
          </w:p>
        </w:tc>
        <w:tc>
          <w:tcPr>
            <w:tcW w:w="31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压缩强度</w:t>
            </w:r>
          </w:p>
        </w:tc>
        <w:tc>
          <w:tcPr>
            <w:tcW w:w="3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GB/T 8813-2020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3</w:t>
            </w:r>
          </w:p>
        </w:tc>
        <w:tc>
          <w:tcPr>
            <w:tcW w:w="31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导热系数</w:t>
            </w:r>
          </w:p>
        </w:tc>
        <w:tc>
          <w:tcPr>
            <w:tcW w:w="3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GB/T 10294-2008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1" w:type="dxa"/>
            <w:vMerge w:val="restart"/>
            <w:tcBorders>
              <w:top w:val="single" w:color="auto" w:sz="4" w:space="0"/>
              <w:left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4</w:t>
            </w:r>
          </w:p>
        </w:tc>
        <w:tc>
          <w:tcPr>
            <w:tcW w:w="3101" w:type="dxa"/>
            <w:vMerge w:val="restart"/>
            <w:tcBorders>
              <w:top w:val="single" w:color="auto" w:sz="4" w:space="0"/>
              <w:left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燃烧性能</w:t>
            </w:r>
          </w:p>
        </w:tc>
        <w:tc>
          <w:tcPr>
            <w:tcW w:w="3738" w:type="dxa"/>
            <w:tcBorders>
              <w:top w:val="single" w:color="auto" w:sz="4" w:space="0"/>
              <w:left w:val="single" w:color="auto" w:sz="4" w:space="0"/>
              <w:right w:val="single" w:color="auto" w:sz="4" w:space="0"/>
            </w:tcBorders>
            <w:noWrap/>
            <w:vAlign w:val="center"/>
          </w:tcPr>
          <w:p>
            <w:pPr>
              <w:jc w:val="center"/>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GB/T 20284-2006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21" w:type="dxa"/>
            <w:vMerge w:val="continue"/>
            <w:tcBorders>
              <w:left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p>
        </w:tc>
        <w:tc>
          <w:tcPr>
            <w:tcW w:w="3101" w:type="dxa"/>
            <w:vMerge w:val="continue"/>
            <w:tcBorders>
              <w:left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p>
        </w:tc>
        <w:tc>
          <w:tcPr>
            <w:tcW w:w="3738" w:type="dxa"/>
            <w:tcBorders>
              <w:left w:val="single" w:color="auto" w:sz="4" w:space="0"/>
              <w:right w:val="single" w:color="auto" w:sz="4" w:space="0"/>
            </w:tcBorders>
            <w:noWrap/>
            <w:vAlign w:val="center"/>
          </w:tcPr>
          <w:p>
            <w:pPr>
              <w:widowControl/>
              <w:jc w:val="center"/>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GB/T 8626-2007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21"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p>
        </w:tc>
        <w:tc>
          <w:tcPr>
            <w:tcW w:w="3101" w:type="dxa"/>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spacing w:val="-10"/>
                <w:sz w:val="28"/>
                <w:szCs w:val="28"/>
              </w:rPr>
            </w:pPr>
          </w:p>
        </w:tc>
        <w:tc>
          <w:tcPr>
            <w:tcW w:w="3738" w:type="dxa"/>
            <w:tcBorders>
              <w:left w:val="single" w:color="auto" w:sz="4" w:space="0"/>
              <w:bottom w:val="single" w:color="auto" w:sz="4" w:space="0"/>
              <w:right w:val="single" w:color="auto" w:sz="4" w:space="0"/>
            </w:tcBorders>
            <w:noWrap/>
            <w:vAlign w:val="center"/>
          </w:tcPr>
          <w:p>
            <w:pPr>
              <w:widowControl/>
              <w:jc w:val="center"/>
              <w:rPr>
                <w:rFonts w:hint="default" w:ascii="仿宋" w:hAnsi="仿宋" w:eastAsia="仿宋" w:cs="仿宋"/>
                <w:color w:val="000000"/>
                <w:spacing w:val="-10"/>
                <w:sz w:val="28"/>
                <w:szCs w:val="28"/>
                <w:lang w:val="en-US"/>
              </w:rPr>
            </w:pPr>
            <w:r>
              <w:rPr>
                <w:rFonts w:hint="eastAsia" w:ascii="仿宋" w:hAnsi="仿宋" w:eastAsia="仿宋" w:cs="仿宋"/>
                <w:color w:val="000000"/>
                <w:spacing w:val="-10"/>
                <w:sz w:val="28"/>
                <w:szCs w:val="28"/>
              </w:rPr>
              <w:t>GB/T 2406.2-2009</w:t>
            </w:r>
          </w:p>
        </w:tc>
      </w:tr>
    </w:tbl>
    <w:p>
      <w:pPr>
        <w:widowControl/>
        <w:jc w:val="center"/>
        <w:rPr>
          <w:rFonts w:hint="eastAsia" w:ascii="仿宋" w:hAnsi="仿宋" w:eastAsia="仿宋" w:cs="仿宋"/>
          <w:color w:val="auto"/>
          <w:spacing w:val="-10"/>
          <w:sz w:val="28"/>
          <w:szCs w:val="28"/>
          <w:lang w:eastAsia="zh-CN"/>
        </w:rPr>
      </w:pPr>
      <w:r>
        <w:rPr>
          <w:rFonts w:hint="eastAsia" w:ascii="仿宋" w:hAnsi="仿宋" w:eastAsia="仿宋" w:cs="仿宋"/>
          <w:color w:val="auto"/>
          <w:spacing w:val="-10"/>
          <w:sz w:val="28"/>
          <w:szCs w:val="28"/>
        </w:rPr>
        <w:t>表</w:t>
      </w:r>
      <w:r>
        <w:rPr>
          <w:rFonts w:hint="eastAsia" w:ascii="仿宋" w:hAnsi="仿宋" w:eastAsia="仿宋" w:cs="仿宋"/>
          <w:color w:val="auto"/>
          <w:spacing w:val="-10"/>
          <w:sz w:val="28"/>
          <w:szCs w:val="28"/>
          <w:lang w:val="en-US" w:eastAsia="zh-CN"/>
        </w:rPr>
        <w:t>2</w:t>
      </w:r>
      <w:r>
        <w:rPr>
          <w:rFonts w:hint="eastAsia" w:ascii="仿宋" w:hAnsi="仿宋" w:eastAsia="仿宋" w:cs="仿宋"/>
          <w:color w:val="auto"/>
          <w:spacing w:val="-10"/>
          <w:sz w:val="28"/>
          <w:szCs w:val="28"/>
        </w:rPr>
        <w:t xml:space="preserve"> </w:t>
      </w:r>
      <w:r>
        <w:rPr>
          <w:rFonts w:hint="eastAsia" w:ascii="仿宋" w:hAnsi="仿宋" w:eastAsia="仿宋" w:cs="仿宋"/>
          <w:color w:val="auto"/>
          <w:spacing w:val="-10"/>
          <w:sz w:val="28"/>
          <w:szCs w:val="28"/>
          <w:lang w:val="en-US" w:eastAsia="zh-CN"/>
        </w:rPr>
        <w:t>绝热用挤塑聚苯乙烯泡沫塑料(XPS)</w:t>
      </w:r>
      <w:r>
        <w:rPr>
          <w:rFonts w:hint="eastAsia" w:ascii="仿宋" w:hAnsi="仿宋" w:eastAsia="仿宋" w:cs="仿宋"/>
          <w:color w:val="auto"/>
          <w:spacing w:val="-10"/>
          <w:sz w:val="28"/>
          <w:szCs w:val="28"/>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3114"/>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spacing w:val="-10"/>
                <w:sz w:val="28"/>
                <w:szCs w:val="28"/>
              </w:rPr>
            </w:pPr>
            <w:r>
              <w:rPr>
                <w:rFonts w:hint="eastAsia" w:ascii="仿宋" w:hAnsi="仿宋" w:eastAsia="仿宋" w:cs="仿宋"/>
                <w:color w:val="auto"/>
                <w:spacing w:val="-10"/>
                <w:sz w:val="28"/>
                <w:szCs w:val="28"/>
              </w:rPr>
              <w:t>序号</w:t>
            </w:r>
          </w:p>
        </w:tc>
        <w:tc>
          <w:tcPr>
            <w:tcW w:w="3114"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仿宋"/>
                <w:color w:val="auto"/>
                <w:spacing w:val="-10"/>
                <w:sz w:val="28"/>
                <w:szCs w:val="28"/>
              </w:rPr>
            </w:pPr>
            <w:r>
              <w:rPr>
                <w:rFonts w:hint="eastAsia" w:ascii="仿宋" w:hAnsi="仿宋" w:eastAsia="仿宋" w:cs="仿宋"/>
                <w:color w:val="auto"/>
                <w:spacing w:val="-10"/>
                <w:sz w:val="28"/>
                <w:szCs w:val="28"/>
              </w:rPr>
              <w:t>检验项目</w:t>
            </w:r>
          </w:p>
        </w:tc>
        <w:tc>
          <w:tcPr>
            <w:tcW w:w="3600"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auto"/>
                <w:spacing w:val="-10"/>
                <w:sz w:val="28"/>
                <w:szCs w:val="28"/>
              </w:rPr>
            </w:pPr>
            <w:r>
              <w:rPr>
                <w:rFonts w:hint="eastAsia" w:ascii="仿宋" w:hAnsi="仿宋" w:eastAsia="仿宋" w:cs="仿宋"/>
                <w:color w:val="auto"/>
                <w:spacing w:val="-1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1</w:t>
            </w:r>
          </w:p>
        </w:tc>
        <w:tc>
          <w:tcPr>
            <w:tcW w:w="3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压缩强度</w:t>
            </w:r>
          </w:p>
        </w:tc>
        <w:tc>
          <w:tcPr>
            <w:tcW w:w="3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GB/T 8813-2008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2</w:t>
            </w:r>
          </w:p>
        </w:tc>
        <w:tc>
          <w:tcPr>
            <w:tcW w:w="3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导热系数（平均温度25℃）</w:t>
            </w:r>
          </w:p>
        </w:tc>
        <w:tc>
          <w:tcPr>
            <w:tcW w:w="3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GB/T 10294-2008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1" w:type="dxa"/>
            <w:vMerge w:val="restart"/>
            <w:tcBorders>
              <w:top w:val="single" w:color="auto" w:sz="4" w:space="0"/>
              <w:left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val="en-US" w:eastAsia="zh-CN"/>
              </w:rPr>
              <w:t>3</w:t>
            </w:r>
          </w:p>
        </w:tc>
        <w:tc>
          <w:tcPr>
            <w:tcW w:w="3114" w:type="dxa"/>
            <w:vMerge w:val="restart"/>
            <w:tcBorders>
              <w:top w:val="single" w:color="auto" w:sz="4" w:space="0"/>
              <w:left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燃烧性能</w:t>
            </w:r>
          </w:p>
        </w:tc>
        <w:tc>
          <w:tcPr>
            <w:tcW w:w="3600" w:type="dxa"/>
            <w:tcBorders>
              <w:top w:val="single" w:color="auto" w:sz="4" w:space="0"/>
              <w:left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GB/T 2406.2-2009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21" w:type="dxa"/>
            <w:vMerge w:val="continue"/>
            <w:tcBorders>
              <w:left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p>
        </w:tc>
        <w:tc>
          <w:tcPr>
            <w:tcW w:w="3114" w:type="dxa"/>
            <w:vMerge w:val="continue"/>
            <w:tcBorders>
              <w:left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p>
        </w:tc>
        <w:tc>
          <w:tcPr>
            <w:tcW w:w="3600" w:type="dxa"/>
            <w:tcBorders>
              <w:left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GB/T 8626-2007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21"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p>
        </w:tc>
        <w:tc>
          <w:tcPr>
            <w:tcW w:w="3114"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p>
        </w:tc>
        <w:tc>
          <w:tcPr>
            <w:tcW w:w="3600" w:type="dxa"/>
            <w:tcBorders>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spacing w:val="-10"/>
                <w:sz w:val="28"/>
                <w:szCs w:val="28"/>
              </w:rPr>
            </w:pPr>
            <w:r>
              <w:rPr>
                <w:rFonts w:hint="eastAsia" w:ascii="仿宋" w:hAnsi="仿宋" w:eastAsia="仿宋" w:cs="仿宋"/>
                <w:color w:val="000000"/>
                <w:spacing w:val="-10"/>
                <w:sz w:val="28"/>
                <w:szCs w:val="28"/>
              </w:rPr>
              <w:t>GB/T 20284-2006</w:t>
            </w:r>
          </w:p>
        </w:tc>
      </w:tr>
    </w:tbl>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注：凡是注日期的文件，其随后所有的修改单（不包括勘误的内容）或修订版不适用于本细则。凡是不注日期的文件，其最新版本适用于本细则。</w:t>
      </w:r>
    </w:p>
    <w:p>
      <w:pPr>
        <w:spacing w:line="360" w:lineRule="auto"/>
        <w:outlineLvl w:val="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3 判定规则</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3.1依据标准</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GB/T 10801.1-2021绝热用模塑聚苯乙烯泡沫塑料（EPS）</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GB/T 10801.2-2018绝热用挤塑聚苯乙烯泡沫塑料(XPS)</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GB 8624-2012 建筑材料及制品燃烧性能分级</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相关的法律、行政法规、部门规章、规范性文件</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现行有效的企业标准、团体标准、地方标准及产品明示质量要求</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3.2判定原则</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经检验，检验项目全部合格，判定为被抽查产品所检项目未发现不合格；检验项目中任一项或一项以上不合格，判定为被抽查产品不合格。</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若被检产品明示的质量要求高于本细则中检验项目依据的标准要求时，应按被检产品明示的质量要求判定。</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若被检产品明示的质量要求低于本细则中检验项目依据的强制性标准要求时，应按照强制性标准要求判定。</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若被检产品明示的质量要求低于或包含本细则中检验项目依据的推荐性标准要求时，应以被检产品明示的质量要求判定。</w:t>
      </w:r>
    </w:p>
    <w:p>
      <w:pPr>
        <w:spacing w:line="360" w:lineRule="auto"/>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若被检产品明示的质量要求缺少本细则中检验项目依据的强制性标准要求时，应按照强制性标准要求判定。</w:t>
      </w:r>
    </w:p>
    <w:p>
      <w:pPr>
        <w:spacing w:line="360" w:lineRule="auto"/>
        <w:ind w:firstLine="560" w:firstLineChars="200"/>
        <w:rPr>
          <w:rFonts w:ascii="仿宋" w:hAnsi="仿宋" w:eastAsia="仿宋" w:cs="仿宋"/>
          <w:color w:val="000000"/>
          <w:spacing w:val="-10"/>
          <w:sz w:val="28"/>
          <w:szCs w:val="28"/>
        </w:rPr>
      </w:pPr>
      <w:r>
        <w:rPr>
          <w:rFonts w:hint="eastAsia" w:ascii="CESI仿宋-GB2312" w:hAnsi="CESI仿宋-GB2312" w:eastAsia="CESI仿宋-GB2312" w:cs="CESI仿宋-GB2312"/>
          <w:sz w:val="28"/>
          <w:szCs w:val="28"/>
          <w:lang w:val="en-US" w:eastAsia="zh-CN"/>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ODEyMjk0YjI1OGExNDgyMDU0YmQ1OGU2YmJmMmUifQ=="/>
  </w:docVars>
  <w:rsids>
    <w:rsidRoot w:val="00DC0F2E"/>
    <w:rsid w:val="00003852"/>
    <w:rsid w:val="00014D9B"/>
    <w:rsid w:val="00017C84"/>
    <w:rsid w:val="0002385C"/>
    <w:rsid w:val="00036296"/>
    <w:rsid w:val="000751F3"/>
    <w:rsid w:val="000B5DF3"/>
    <w:rsid w:val="000C5367"/>
    <w:rsid w:val="00130E6D"/>
    <w:rsid w:val="00136332"/>
    <w:rsid w:val="001904F5"/>
    <w:rsid w:val="001A2B90"/>
    <w:rsid w:val="001B2732"/>
    <w:rsid w:val="001F1C27"/>
    <w:rsid w:val="001F6724"/>
    <w:rsid w:val="00206B7D"/>
    <w:rsid w:val="0025791D"/>
    <w:rsid w:val="0028351A"/>
    <w:rsid w:val="002B7C84"/>
    <w:rsid w:val="0034133C"/>
    <w:rsid w:val="00366746"/>
    <w:rsid w:val="00367534"/>
    <w:rsid w:val="00372506"/>
    <w:rsid w:val="00437369"/>
    <w:rsid w:val="00440E57"/>
    <w:rsid w:val="00441C9C"/>
    <w:rsid w:val="0049505F"/>
    <w:rsid w:val="004D0E0A"/>
    <w:rsid w:val="004D71FD"/>
    <w:rsid w:val="005A4564"/>
    <w:rsid w:val="005D6B26"/>
    <w:rsid w:val="005E49EB"/>
    <w:rsid w:val="006624E8"/>
    <w:rsid w:val="00675DB1"/>
    <w:rsid w:val="006913E1"/>
    <w:rsid w:val="006E3F73"/>
    <w:rsid w:val="007163DF"/>
    <w:rsid w:val="00744839"/>
    <w:rsid w:val="007850B8"/>
    <w:rsid w:val="007A24A8"/>
    <w:rsid w:val="007D3590"/>
    <w:rsid w:val="007D6750"/>
    <w:rsid w:val="008014E2"/>
    <w:rsid w:val="008724BB"/>
    <w:rsid w:val="00887324"/>
    <w:rsid w:val="008915DF"/>
    <w:rsid w:val="008B780D"/>
    <w:rsid w:val="00913A26"/>
    <w:rsid w:val="00920060"/>
    <w:rsid w:val="00972609"/>
    <w:rsid w:val="00986FF3"/>
    <w:rsid w:val="00997F84"/>
    <w:rsid w:val="00A1407C"/>
    <w:rsid w:val="00A22D86"/>
    <w:rsid w:val="00A233CA"/>
    <w:rsid w:val="00A37D62"/>
    <w:rsid w:val="00AC657E"/>
    <w:rsid w:val="00AE6BFE"/>
    <w:rsid w:val="00AF1713"/>
    <w:rsid w:val="00B02FE8"/>
    <w:rsid w:val="00B22458"/>
    <w:rsid w:val="00B2498A"/>
    <w:rsid w:val="00B55E7B"/>
    <w:rsid w:val="00B96D64"/>
    <w:rsid w:val="00BA7A4D"/>
    <w:rsid w:val="00BF4E65"/>
    <w:rsid w:val="00C734B8"/>
    <w:rsid w:val="00C85642"/>
    <w:rsid w:val="00C869EC"/>
    <w:rsid w:val="00C94FB0"/>
    <w:rsid w:val="00CB44F1"/>
    <w:rsid w:val="00CE6C08"/>
    <w:rsid w:val="00D220A9"/>
    <w:rsid w:val="00D85F10"/>
    <w:rsid w:val="00DB1412"/>
    <w:rsid w:val="00DB78C7"/>
    <w:rsid w:val="00DB7A65"/>
    <w:rsid w:val="00DC0F2E"/>
    <w:rsid w:val="00E72DBE"/>
    <w:rsid w:val="00EA26C4"/>
    <w:rsid w:val="00EA7F17"/>
    <w:rsid w:val="00EC757F"/>
    <w:rsid w:val="00F01AB6"/>
    <w:rsid w:val="00F24ED1"/>
    <w:rsid w:val="00F3444F"/>
    <w:rsid w:val="00F67AD8"/>
    <w:rsid w:val="00F73775"/>
    <w:rsid w:val="01484FA4"/>
    <w:rsid w:val="01BB7564"/>
    <w:rsid w:val="08E65313"/>
    <w:rsid w:val="12417761"/>
    <w:rsid w:val="19674924"/>
    <w:rsid w:val="19E602AE"/>
    <w:rsid w:val="1AAF28D1"/>
    <w:rsid w:val="1B654B4E"/>
    <w:rsid w:val="1F74503C"/>
    <w:rsid w:val="1FF21DA9"/>
    <w:rsid w:val="22014F16"/>
    <w:rsid w:val="3BF35840"/>
    <w:rsid w:val="3C4562A2"/>
    <w:rsid w:val="3E6DA3F9"/>
    <w:rsid w:val="442D472D"/>
    <w:rsid w:val="466E61EE"/>
    <w:rsid w:val="472D789A"/>
    <w:rsid w:val="48325354"/>
    <w:rsid w:val="4EA2741B"/>
    <w:rsid w:val="4FBF758B"/>
    <w:rsid w:val="51411C70"/>
    <w:rsid w:val="515B7F0F"/>
    <w:rsid w:val="51EF270F"/>
    <w:rsid w:val="56ED2CDA"/>
    <w:rsid w:val="59867E20"/>
    <w:rsid w:val="5A5E608B"/>
    <w:rsid w:val="628A3F58"/>
    <w:rsid w:val="6A5E33E5"/>
    <w:rsid w:val="6CFF4615"/>
    <w:rsid w:val="6E841DDA"/>
    <w:rsid w:val="6FB42C0E"/>
    <w:rsid w:val="70744F5D"/>
    <w:rsid w:val="756C0D83"/>
    <w:rsid w:val="75BF23A8"/>
    <w:rsid w:val="7DCFD248"/>
    <w:rsid w:val="7EC764C0"/>
    <w:rsid w:val="7EC95931"/>
    <w:rsid w:val="7F39F771"/>
    <w:rsid w:val="7F3F1279"/>
    <w:rsid w:val="7FFDA18F"/>
    <w:rsid w:val="7FFF20E6"/>
    <w:rsid w:val="A5E3F064"/>
    <w:rsid w:val="BD37653F"/>
    <w:rsid w:val="BF9F0BCC"/>
    <w:rsid w:val="BFBD6956"/>
    <w:rsid w:val="E4E7EDC2"/>
    <w:rsid w:val="E7EF9488"/>
    <w:rsid w:val="F57ED262"/>
    <w:rsid w:val="FFFE07C6"/>
    <w:rsid w:val="FFFFE2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3"/>
    <w:qFormat/>
    <w:uiPriority w:val="0"/>
    <w:pPr>
      <w:spacing w:after="120"/>
      <w:ind w:left="420" w:leftChars="200"/>
    </w:pPr>
    <w:rPr>
      <w:sz w:val="16"/>
      <w:szCs w:val="16"/>
    </w:rPr>
  </w:style>
  <w:style w:type="character" w:styleId="10">
    <w:name w:val="annotation reference"/>
    <w:basedOn w:val="9"/>
    <w:qFormat/>
    <w:uiPriority w:val="0"/>
    <w:rPr>
      <w:sz w:val="21"/>
      <w:szCs w:val="21"/>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character" w:customStyle="1" w:styleId="13">
    <w:name w:val="正文文本缩进 3 Char"/>
    <w:basedOn w:val="9"/>
    <w:link w:val="7"/>
    <w:qFormat/>
    <w:uiPriority w:val="0"/>
    <w:rPr>
      <w:kern w:val="2"/>
      <w:sz w:val="16"/>
      <w:szCs w:val="16"/>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1031</Words>
  <Characters>1295</Characters>
  <Lines>8</Lines>
  <Paragraphs>2</Paragraphs>
  <TotalTime>3</TotalTime>
  <ScaleCrop>false</ScaleCrop>
  <LinksUpToDate>false</LinksUpToDate>
  <CharactersWithSpaces>1316</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2023-06-17T08:19:00Z</dcterms:created>
  <dc:creator>Administrator</dc:creator>
  <cp:lastModifiedBy>user</cp:lastModifiedBy>
  <dcterms:modified xsi:type="dcterms:W3CDTF">2025-04-08T16:10:16Z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25386F88DDA0423C915887B422397CF7_13</vt:lpwstr>
  </property>
  <property fmtid="{D5CDD505-2E9C-101B-9397-08002B2CF9AE}" pid="4" name="KSOTemplateDocerSaveRecord">
    <vt:lpwstr>eyJoZGlkIjoiODg5ODEyMjk0YjI1OGExNDgyMDU0YmQ1OGU2YmJmMmUiLCJ1c2VySWQiOiIzNTQ1NzYzMTMifQ==</vt:lpwstr>
  </property>
</Properties>
</file>